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347B" w14:textId="71FBF365" w:rsidR="00331371" w:rsidRPr="003A4599" w:rsidRDefault="0000711C" w:rsidP="003A4599">
      <w:pPr>
        <w:tabs>
          <w:tab w:val="left" w:pos="3544"/>
          <w:tab w:val="left" w:pos="8233"/>
        </w:tabs>
        <w:ind w:left="111"/>
        <w:rPr>
          <w:sz w:val="20"/>
        </w:rPr>
      </w:pPr>
      <w:r w:rsidRPr="003A4599">
        <w:rPr>
          <w:noProof/>
          <w:position w:val="34"/>
          <w:sz w:val="20"/>
        </w:rPr>
        <w:drawing>
          <wp:inline distT="0" distB="0" distL="0" distR="0" wp14:anchorId="7AA85209" wp14:editId="26601FCD">
            <wp:extent cx="1783760" cy="8412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783760" cy="841248"/>
                    </a:xfrm>
                    <a:prstGeom prst="rect">
                      <a:avLst/>
                    </a:prstGeom>
                  </pic:spPr>
                </pic:pic>
              </a:graphicData>
            </a:graphic>
          </wp:inline>
        </w:drawing>
      </w:r>
      <w:r w:rsidRPr="003A4599">
        <w:rPr>
          <w:position w:val="34"/>
          <w:sz w:val="20"/>
        </w:rPr>
        <w:tab/>
      </w:r>
      <w:r w:rsidR="003A4599">
        <w:rPr>
          <w:noProof/>
          <w:sz w:val="20"/>
        </w:rPr>
        <w:t xml:space="preserve">                                                                                     </w:t>
      </w:r>
      <w:r w:rsidRPr="003A4599">
        <w:rPr>
          <w:noProof/>
          <w:sz w:val="20"/>
        </w:rPr>
        <w:drawing>
          <wp:inline distT="0" distB="0" distL="0" distR="0" wp14:anchorId="50B0D11D" wp14:editId="2A5336FA">
            <wp:extent cx="938832" cy="11338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938832" cy="1133855"/>
                    </a:xfrm>
                    <a:prstGeom prst="rect">
                      <a:avLst/>
                    </a:prstGeom>
                  </pic:spPr>
                </pic:pic>
              </a:graphicData>
            </a:graphic>
          </wp:inline>
        </w:drawing>
      </w:r>
    </w:p>
    <w:p w14:paraId="32093956" w14:textId="77777777" w:rsidR="00331371" w:rsidRPr="003A4599" w:rsidRDefault="00331371">
      <w:pPr>
        <w:pStyle w:val="BodyText"/>
        <w:spacing w:before="8"/>
        <w:rPr>
          <w:sz w:val="18"/>
        </w:rPr>
      </w:pPr>
    </w:p>
    <w:p w14:paraId="26E96C3D" w14:textId="77777777" w:rsidR="00331371" w:rsidRPr="003A4599" w:rsidRDefault="0000711C">
      <w:pPr>
        <w:pStyle w:val="Title"/>
      </w:pPr>
      <w:r w:rsidRPr="003A4599">
        <w:t>Collections Management Policy</w:t>
      </w:r>
    </w:p>
    <w:p w14:paraId="63EA2B63" w14:textId="77777777" w:rsidR="00331371" w:rsidRPr="003A4599" w:rsidRDefault="00331371">
      <w:pPr>
        <w:pStyle w:val="BodyText"/>
        <w:rPr>
          <w:b/>
          <w:sz w:val="36"/>
        </w:rPr>
      </w:pPr>
    </w:p>
    <w:p w14:paraId="298F5CE4" w14:textId="77777777" w:rsidR="00331371" w:rsidRPr="003A4599" w:rsidRDefault="00331371">
      <w:pPr>
        <w:pStyle w:val="BodyText"/>
        <w:spacing w:before="2"/>
        <w:rPr>
          <w:b/>
          <w:sz w:val="52"/>
        </w:rPr>
      </w:pPr>
    </w:p>
    <w:sdt>
      <w:sdtPr>
        <w:rPr>
          <w:b w:val="0"/>
          <w:bCs w:val="0"/>
        </w:rPr>
        <w:id w:val="1053120541"/>
        <w:docPartObj>
          <w:docPartGallery w:val="Table of Contents"/>
          <w:docPartUnique/>
        </w:docPartObj>
      </w:sdtPr>
      <w:sdtContent>
        <w:p w14:paraId="396A2B19" w14:textId="4200C8B6" w:rsidR="00D840DD" w:rsidRPr="00D840DD" w:rsidRDefault="0000711C">
          <w:pPr>
            <w:pStyle w:val="TOC1"/>
            <w:tabs>
              <w:tab w:val="right" w:leader="dot" w:pos="9960"/>
            </w:tabs>
            <w:rPr>
              <w:rFonts w:asciiTheme="minorHAnsi" w:eastAsiaTheme="minorEastAsia" w:hAnsiTheme="minorHAnsi" w:cstheme="minorBidi"/>
              <w:b w:val="0"/>
              <w:bCs w:val="0"/>
              <w:noProof/>
              <w:lang w:val="en-GB" w:eastAsia="en-GB"/>
            </w:rPr>
          </w:pPr>
          <w:r w:rsidRPr="003A4599">
            <w:fldChar w:fldCharType="begin"/>
          </w:r>
          <w:r w:rsidRPr="003A4599">
            <w:instrText xml:space="preserve">TOC \o "1-1" \h \z \u </w:instrText>
          </w:r>
          <w:r w:rsidRPr="003A4599">
            <w:fldChar w:fldCharType="separate"/>
          </w:r>
          <w:hyperlink w:anchor="_Toc102634449" w:history="1">
            <w:r w:rsidR="00D840DD" w:rsidRPr="00D840DD">
              <w:rPr>
                <w:rStyle w:val="Hyperlink"/>
                <w:b w:val="0"/>
                <w:bCs w:val="0"/>
                <w:noProof/>
              </w:rPr>
              <w:t>Introduction</w:t>
            </w:r>
            <w:r w:rsidR="00D840DD" w:rsidRPr="00D840DD">
              <w:rPr>
                <w:b w:val="0"/>
                <w:bCs w:val="0"/>
                <w:noProof/>
                <w:webHidden/>
              </w:rPr>
              <w:tab/>
            </w:r>
            <w:r w:rsidR="00D840DD" w:rsidRPr="00D840DD">
              <w:rPr>
                <w:b w:val="0"/>
                <w:bCs w:val="0"/>
                <w:noProof/>
                <w:webHidden/>
              </w:rPr>
              <w:fldChar w:fldCharType="begin"/>
            </w:r>
            <w:r w:rsidR="00D840DD" w:rsidRPr="00D840DD">
              <w:rPr>
                <w:b w:val="0"/>
                <w:bCs w:val="0"/>
                <w:noProof/>
                <w:webHidden/>
              </w:rPr>
              <w:instrText xml:space="preserve"> PAGEREF _Toc102634449 \h </w:instrText>
            </w:r>
            <w:r w:rsidR="00D840DD" w:rsidRPr="00D840DD">
              <w:rPr>
                <w:b w:val="0"/>
                <w:bCs w:val="0"/>
                <w:noProof/>
                <w:webHidden/>
              </w:rPr>
            </w:r>
            <w:r w:rsidR="00D840DD" w:rsidRPr="00D840DD">
              <w:rPr>
                <w:b w:val="0"/>
                <w:bCs w:val="0"/>
                <w:noProof/>
                <w:webHidden/>
              </w:rPr>
              <w:fldChar w:fldCharType="separate"/>
            </w:r>
            <w:r w:rsidR="00345D97">
              <w:rPr>
                <w:b w:val="0"/>
                <w:bCs w:val="0"/>
                <w:noProof/>
                <w:webHidden/>
              </w:rPr>
              <w:t>1</w:t>
            </w:r>
            <w:r w:rsidR="00D840DD" w:rsidRPr="00D840DD">
              <w:rPr>
                <w:b w:val="0"/>
                <w:bCs w:val="0"/>
                <w:noProof/>
                <w:webHidden/>
              </w:rPr>
              <w:fldChar w:fldCharType="end"/>
            </w:r>
          </w:hyperlink>
        </w:p>
        <w:p w14:paraId="39043320" w14:textId="0EA3215E"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0" w:history="1">
            <w:r w:rsidRPr="00D840DD">
              <w:rPr>
                <w:rStyle w:val="Hyperlink"/>
                <w:b w:val="0"/>
                <w:bCs w:val="0"/>
                <w:noProof/>
              </w:rPr>
              <w:t>Policy Aims</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_Toc102634450 \h </w:instrText>
            </w:r>
            <w:r w:rsidRPr="00D840DD">
              <w:rPr>
                <w:b w:val="0"/>
                <w:bCs w:val="0"/>
                <w:noProof/>
                <w:webHidden/>
              </w:rPr>
            </w:r>
            <w:r w:rsidRPr="00D840DD">
              <w:rPr>
                <w:b w:val="0"/>
                <w:bCs w:val="0"/>
                <w:noProof/>
                <w:webHidden/>
              </w:rPr>
              <w:fldChar w:fldCharType="separate"/>
            </w:r>
            <w:r w:rsidR="00345D97">
              <w:rPr>
                <w:b w:val="0"/>
                <w:bCs w:val="0"/>
                <w:noProof/>
                <w:webHidden/>
              </w:rPr>
              <w:t>1</w:t>
            </w:r>
            <w:r w:rsidRPr="00D840DD">
              <w:rPr>
                <w:b w:val="0"/>
                <w:bCs w:val="0"/>
                <w:noProof/>
                <w:webHidden/>
              </w:rPr>
              <w:fldChar w:fldCharType="end"/>
            </w:r>
          </w:hyperlink>
        </w:p>
        <w:p w14:paraId="712A32AE" w14:textId="7C949DDC"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1" w:history="1">
            <w:r w:rsidRPr="00D840DD">
              <w:rPr>
                <w:rStyle w:val="Hyperlink"/>
                <w:b w:val="0"/>
                <w:bCs w:val="0"/>
                <w:noProof/>
              </w:rPr>
              <w:t>Statutory and Legal Status</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_Toc102634451 \h </w:instrText>
            </w:r>
            <w:r w:rsidRPr="00D840DD">
              <w:rPr>
                <w:b w:val="0"/>
                <w:bCs w:val="0"/>
                <w:noProof/>
                <w:webHidden/>
              </w:rPr>
            </w:r>
            <w:r w:rsidRPr="00D840DD">
              <w:rPr>
                <w:b w:val="0"/>
                <w:bCs w:val="0"/>
                <w:noProof/>
                <w:webHidden/>
              </w:rPr>
              <w:fldChar w:fldCharType="separate"/>
            </w:r>
            <w:r w:rsidR="00345D97">
              <w:rPr>
                <w:b w:val="0"/>
                <w:bCs w:val="0"/>
                <w:noProof/>
                <w:webHidden/>
              </w:rPr>
              <w:t>2</w:t>
            </w:r>
            <w:r w:rsidRPr="00D840DD">
              <w:rPr>
                <w:b w:val="0"/>
                <w:bCs w:val="0"/>
                <w:noProof/>
                <w:webHidden/>
              </w:rPr>
              <w:fldChar w:fldCharType="end"/>
            </w:r>
          </w:hyperlink>
        </w:p>
        <w:p w14:paraId="7AE7382A" w14:textId="77F0C898"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2" w:history="1">
            <w:r w:rsidRPr="00D840DD">
              <w:rPr>
                <w:rStyle w:val="Hyperlink"/>
                <w:b w:val="0"/>
                <w:bCs w:val="0"/>
                <w:noProof/>
              </w:rPr>
              <w:t>Roles and Responsibilities</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_Toc102634452 \h </w:instrText>
            </w:r>
            <w:r w:rsidRPr="00D840DD">
              <w:rPr>
                <w:b w:val="0"/>
                <w:bCs w:val="0"/>
                <w:noProof/>
                <w:webHidden/>
              </w:rPr>
            </w:r>
            <w:r w:rsidRPr="00D840DD">
              <w:rPr>
                <w:b w:val="0"/>
                <w:bCs w:val="0"/>
                <w:noProof/>
                <w:webHidden/>
              </w:rPr>
              <w:fldChar w:fldCharType="separate"/>
            </w:r>
            <w:r w:rsidR="00345D97">
              <w:rPr>
                <w:b w:val="0"/>
                <w:bCs w:val="0"/>
                <w:noProof/>
                <w:webHidden/>
              </w:rPr>
              <w:t>2</w:t>
            </w:r>
            <w:r w:rsidRPr="00D840DD">
              <w:rPr>
                <w:b w:val="0"/>
                <w:bCs w:val="0"/>
                <w:noProof/>
                <w:webHidden/>
              </w:rPr>
              <w:fldChar w:fldCharType="end"/>
            </w:r>
          </w:hyperlink>
        </w:p>
        <w:p w14:paraId="1362A64F" w14:textId="6E4A14C1"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3" w:history="1">
            <w:r w:rsidRPr="00D840DD">
              <w:rPr>
                <w:rStyle w:val="Hyperlink"/>
                <w:b w:val="0"/>
                <w:bCs w:val="0"/>
                <w:noProof/>
              </w:rPr>
              <w:t>Collections Management</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_Toc102634453 \h </w:instrText>
            </w:r>
            <w:r w:rsidRPr="00D840DD">
              <w:rPr>
                <w:b w:val="0"/>
                <w:bCs w:val="0"/>
                <w:noProof/>
                <w:webHidden/>
              </w:rPr>
            </w:r>
            <w:r w:rsidRPr="00D840DD">
              <w:rPr>
                <w:b w:val="0"/>
                <w:bCs w:val="0"/>
                <w:noProof/>
                <w:webHidden/>
              </w:rPr>
              <w:fldChar w:fldCharType="separate"/>
            </w:r>
            <w:r w:rsidR="00345D97">
              <w:rPr>
                <w:b w:val="0"/>
                <w:bCs w:val="0"/>
                <w:noProof/>
                <w:webHidden/>
              </w:rPr>
              <w:t>2</w:t>
            </w:r>
            <w:r w:rsidRPr="00D840DD">
              <w:rPr>
                <w:b w:val="0"/>
                <w:bCs w:val="0"/>
                <w:noProof/>
                <w:webHidden/>
              </w:rPr>
              <w:fldChar w:fldCharType="end"/>
            </w:r>
          </w:hyperlink>
        </w:p>
        <w:p w14:paraId="4A92F2B3" w14:textId="663B3154"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4" w:history="1">
            <w:r w:rsidRPr="00D840DD">
              <w:rPr>
                <w:rStyle w:val="Hyperlink"/>
                <w:b w:val="0"/>
                <w:bCs w:val="0"/>
                <w:noProof/>
              </w:rPr>
              <w:t>Standards</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_Toc102634454 \h </w:instrText>
            </w:r>
            <w:r w:rsidRPr="00D840DD">
              <w:rPr>
                <w:b w:val="0"/>
                <w:bCs w:val="0"/>
                <w:noProof/>
                <w:webHidden/>
              </w:rPr>
            </w:r>
            <w:r w:rsidRPr="00D840DD">
              <w:rPr>
                <w:b w:val="0"/>
                <w:bCs w:val="0"/>
                <w:noProof/>
                <w:webHidden/>
              </w:rPr>
              <w:fldChar w:fldCharType="separate"/>
            </w:r>
            <w:r w:rsidR="00345D97">
              <w:rPr>
                <w:b w:val="0"/>
                <w:bCs w:val="0"/>
                <w:noProof/>
                <w:webHidden/>
              </w:rPr>
              <w:t>3</w:t>
            </w:r>
            <w:r w:rsidRPr="00D840DD">
              <w:rPr>
                <w:b w:val="0"/>
                <w:bCs w:val="0"/>
                <w:noProof/>
                <w:webHidden/>
              </w:rPr>
              <w:fldChar w:fldCharType="end"/>
            </w:r>
          </w:hyperlink>
        </w:p>
        <w:p w14:paraId="02759A3E" w14:textId="42286C03"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5" w:history="1">
            <w:r w:rsidRPr="00D840DD">
              <w:rPr>
                <w:rStyle w:val="Hyperlink"/>
                <w:b w:val="0"/>
                <w:bCs w:val="0"/>
                <w:noProof/>
              </w:rPr>
              <w:t>Inter-relationships</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_Toc102634455 \h </w:instrText>
            </w:r>
            <w:r w:rsidRPr="00D840DD">
              <w:rPr>
                <w:b w:val="0"/>
                <w:bCs w:val="0"/>
                <w:noProof/>
                <w:webHidden/>
              </w:rPr>
            </w:r>
            <w:r w:rsidRPr="00D840DD">
              <w:rPr>
                <w:b w:val="0"/>
                <w:bCs w:val="0"/>
                <w:noProof/>
                <w:webHidden/>
              </w:rPr>
              <w:fldChar w:fldCharType="separate"/>
            </w:r>
            <w:r w:rsidR="00345D97">
              <w:rPr>
                <w:b w:val="0"/>
                <w:bCs w:val="0"/>
                <w:noProof/>
                <w:webHidden/>
              </w:rPr>
              <w:t>3</w:t>
            </w:r>
            <w:r w:rsidRPr="00D840DD">
              <w:rPr>
                <w:b w:val="0"/>
                <w:bCs w:val="0"/>
                <w:noProof/>
                <w:webHidden/>
              </w:rPr>
              <w:fldChar w:fldCharType="end"/>
            </w:r>
          </w:hyperlink>
        </w:p>
        <w:p w14:paraId="74AAEE7F" w14:textId="47557228"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6" w:history="1">
            <w:r w:rsidRPr="00D840DD">
              <w:rPr>
                <w:rStyle w:val="Hyperlink"/>
                <w:b w:val="0"/>
                <w:bCs w:val="0"/>
                <w:noProof/>
              </w:rPr>
              <w:t>Related Policies and Plans</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_Toc102634456 \h </w:instrText>
            </w:r>
            <w:r w:rsidRPr="00D840DD">
              <w:rPr>
                <w:b w:val="0"/>
                <w:bCs w:val="0"/>
                <w:noProof/>
                <w:webHidden/>
              </w:rPr>
            </w:r>
            <w:r w:rsidRPr="00D840DD">
              <w:rPr>
                <w:b w:val="0"/>
                <w:bCs w:val="0"/>
                <w:noProof/>
                <w:webHidden/>
              </w:rPr>
              <w:fldChar w:fldCharType="separate"/>
            </w:r>
            <w:r w:rsidR="00345D97">
              <w:rPr>
                <w:b w:val="0"/>
                <w:bCs w:val="0"/>
                <w:noProof/>
                <w:webHidden/>
              </w:rPr>
              <w:t>4</w:t>
            </w:r>
            <w:r w:rsidRPr="00D840DD">
              <w:rPr>
                <w:b w:val="0"/>
                <w:bCs w:val="0"/>
                <w:noProof/>
                <w:webHidden/>
              </w:rPr>
              <w:fldChar w:fldCharType="end"/>
            </w:r>
          </w:hyperlink>
        </w:p>
        <w:p w14:paraId="5C8C8442" w14:textId="6297646E" w:rsidR="00D840DD" w:rsidRPr="00D840DD" w:rsidRDefault="00D840DD">
          <w:pPr>
            <w:pStyle w:val="TOC1"/>
            <w:tabs>
              <w:tab w:val="right" w:leader="dot" w:pos="9960"/>
            </w:tabs>
            <w:rPr>
              <w:rFonts w:asciiTheme="minorHAnsi" w:eastAsiaTheme="minorEastAsia" w:hAnsiTheme="minorHAnsi" w:cstheme="minorBidi"/>
              <w:b w:val="0"/>
              <w:bCs w:val="0"/>
              <w:noProof/>
              <w:lang w:val="en-GB" w:eastAsia="en-GB"/>
            </w:rPr>
          </w:pPr>
          <w:hyperlink w:anchor="_Toc102634457" w:history="1">
            <w:r w:rsidRPr="00D840DD">
              <w:rPr>
                <w:rStyle w:val="Hyperlink"/>
                <w:b w:val="0"/>
                <w:bCs w:val="0"/>
                <w:noProof/>
              </w:rPr>
              <w:t>Review</w:t>
            </w:r>
            <w:r w:rsidRPr="00D840DD">
              <w:rPr>
                <w:b w:val="0"/>
                <w:bCs w:val="0"/>
                <w:noProof/>
                <w:webHidden/>
              </w:rPr>
              <w:tab/>
            </w:r>
            <w:r w:rsidRPr="00D840DD">
              <w:rPr>
                <w:b w:val="0"/>
                <w:bCs w:val="0"/>
                <w:noProof/>
                <w:webHidden/>
              </w:rPr>
              <w:fldChar w:fldCharType="begin"/>
            </w:r>
            <w:r w:rsidRPr="00D840DD">
              <w:rPr>
                <w:b w:val="0"/>
                <w:bCs w:val="0"/>
                <w:noProof/>
                <w:webHidden/>
              </w:rPr>
              <w:instrText xml:space="preserve"> PAGEREF _Toc102634457 \h </w:instrText>
            </w:r>
            <w:r w:rsidRPr="00D840DD">
              <w:rPr>
                <w:b w:val="0"/>
                <w:bCs w:val="0"/>
                <w:noProof/>
                <w:webHidden/>
              </w:rPr>
            </w:r>
            <w:r w:rsidRPr="00D840DD">
              <w:rPr>
                <w:b w:val="0"/>
                <w:bCs w:val="0"/>
                <w:noProof/>
                <w:webHidden/>
              </w:rPr>
              <w:fldChar w:fldCharType="separate"/>
            </w:r>
            <w:r w:rsidR="00345D97">
              <w:rPr>
                <w:b w:val="0"/>
                <w:bCs w:val="0"/>
                <w:noProof/>
                <w:webHidden/>
              </w:rPr>
              <w:t>4</w:t>
            </w:r>
            <w:r w:rsidRPr="00D840DD">
              <w:rPr>
                <w:b w:val="0"/>
                <w:bCs w:val="0"/>
                <w:noProof/>
                <w:webHidden/>
              </w:rPr>
              <w:fldChar w:fldCharType="end"/>
            </w:r>
          </w:hyperlink>
        </w:p>
        <w:p w14:paraId="3BBB08CB" w14:textId="15BACE24" w:rsidR="00331371" w:rsidRPr="003A4599" w:rsidRDefault="0000711C">
          <w:pPr>
            <w:rPr>
              <w:sz w:val="26"/>
            </w:rPr>
          </w:pPr>
          <w:r w:rsidRPr="003A4599">
            <w:fldChar w:fldCharType="end"/>
          </w:r>
        </w:p>
      </w:sdtContent>
    </w:sdt>
    <w:p w14:paraId="114D317C" w14:textId="77777777" w:rsidR="00331371" w:rsidRPr="003A4599" w:rsidRDefault="00331371">
      <w:pPr>
        <w:pStyle w:val="BodyText"/>
        <w:rPr>
          <w:sz w:val="26"/>
        </w:rPr>
      </w:pPr>
    </w:p>
    <w:p w14:paraId="59701E70" w14:textId="77777777" w:rsidR="00331371" w:rsidRPr="003A4599" w:rsidRDefault="00331371">
      <w:pPr>
        <w:pStyle w:val="BodyText"/>
        <w:rPr>
          <w:sz w:val="26"/>
        </w:rPr>
      </w:pPr>
    </w:p>
    <w:p w14:paraId="3D4C97F6" w14:textId="77777777" w:rsidR="00331371" w:rsidRPr="003A4599" w:rsidRDefault="0000711C">
      <w:pPr>
        <w:pStyle w:val="Heading1"/>
        <w:spacing w:before="212"/>
      </w:pPr>
      <w:bookmarkStart w:id="0" w:name="_Toc102634449"/>
      <w:r w:rsidRPr="003A4599">
        <w:t>Introduction</w:t>
      </w:r>
      <w:bookmarkEnd w:id="0"/>
    </w:p>
    <w:p w14:paraId="3E6E9A13" w14:textId="77777777" w:rsidR="00331371" w:rsidRPr="003A4599" w:rsidRDefault="00331371">
      <w:pPr>
        <w:pStyle w:val="BodyText"/>
        <w:spacing w:before="3"/>
        <w:rPr>
          <w:b/>
          <w:sz w:val="28"/>
        </w:rPr>
      </w:pPr>
    </w:p>
    <w:p w14:paraId="34199F59" w14:textId="77777777" w:rsidR="00331371" w:rsidRPr="003A4599" w:rsidRDefault="0000711C">
      <w:pPr>
        <w:pStyle w:val="BodyText"/>
        <w:spacing w:before="1"/>
        <w:ind w:left="820" w:right="312"/>
      </w:pPr>
      <w:r w:rsidRPr="003A4599">
        <w:t>Gwent Archives’ mission is to collect, preserve and make available for research the historical records relating to the old administrative county of Gwent.</w:t>
      </w:r>
    </w:p>
    <w:p w14:paraId="5602E801" w14:textId="77777777" w:rsidR="00331371" w:rsidRPr="003A4599" w:rsidRDefault="00331371">
      <w:pPr>
        <w:pStyle w:val="BodyText"/>
        <w:spacing w:before="11"/>
        <w:rPr>
          <w:sz w:val="23"/>
        </w:rPr>
      </w:pPr>
    </w:p>
    <w:p w14:paraId="488B63ED" w14:textId="45D1C635" w:rsidR="00331371" w:rsidRPr="003A4599" w:rsidRDefault="0000711C">
      <w:pPr>
        <w:pStyle w:val="BodyText"/>
        <w:ind w:left="820" w:right="245"/>
      </w:pPr>
      <w:r w:rsidRPr="003A4599">
        <w:t>We are a regional archive service, working on behalf of the local authorities of Blaenau Gwent County Borough Council, Caerphilly County Borough Council, Monmouthshire County Council, Newport City Council and Torfaen County Borough Council. Gwent Archives’ priority is the management of Gwent’s documentary heritage, so that it is preserved for current and future generations. By collecting archival records, Gwent Archives helps provide evidence for the accountability of public institutions, decision-makers and opinion-</w:t>
      </w:r>
      <w:proofErr w:type="gramStart"/>
      <w:r w:rsidRPr="003A4599">
        <w:t>formers</w:t>
      </w:r>
      <w:proofErr w:type="gramEnd"/>
      <w:r w:rsidRPr="003A4599">
        <w:t xml:space="preserve"> thereby helping safeguard the democratic and legal rights of the citizen.</w:t>
      </w:r>
    </w:p>
    <w:p w14:paraId="268554B7" w14:textId="77777777" w:rsidR="00331371" w:rsidRPr="003A4599" w:rsidRDefault="00331371">
      <w:pPr>
        <w:pStyle w:val="BodyText"/>
        <w:rPr>
          <w:sz w:val="26"/>
        </w:rPr>
      </w:pPr>
    </w:p>
    <w:p w14:paraId="640FAD3F" w14:textId="77777777" w:rsidR="00331371" w:rsidRPr="003A4599" w:rsidRDefault="0000711C">
      <w:pPr>
        <w:pStyle w:val="Heading1"/>
        <w:spacing w:before="216"/>
      </w:pPr>
      <w:bookmarkStart w:id="1" w:name="_Toc102634450"/>
      <w:r w:rsidRPr="003A4599">
        <w:t>Policy Aims</w:t>
      </w:r>
      <w:bookmarkEnd w:id="1"/>
    </w:p>
    <w:p w14:paraId="48762FA4" w14:textId="77777777" w:rsidR="00331371" w:rsidRPr="003A4599" w:rsidRDefault="00331371">
      <w:pPr>
        <w:pStyle w:val="BodyText"/>
        <w:spacing w:before="3"/>
        <w:rPr>
          <w:b/>
          <w:sz w:val="28"/>
        </w:rPr>
      </w:pPr>
    </w:p>
    <w:p w14:paraId="790E73AD" w14:textId="77777777" w:rsidR="00331371" w:rsidRPr="003A4599" w:rsidRDefault="0000711C">
      <w:pPr>
        <w:pStyle w:val="BodyText"/>
        <w:tabs>
          <w:tab w:val="left" w:pos="6266"/>
        </w:tabs>
        <w:spacing w:before="1"/>
        <w:ind w:left="820" w:right="179"/>
      </w:pPr>
      <w:r w:rsidRPr="3F58AE6C">
        <w:t xml:space="preserve">The principal aim of this policy is to demonstrate the </w:t>
      </w:r>
      <w:proofErr w:type="spellStart"/>
      <w:r w:rsidRPr="3F58AE6C">
        <w:t>co-ordinated</w:t>
      </w:r>
      <w:proofErr w:type="spellEnd"/>
      <w:r w:rsidRPr="3F58AE6C">
        <w:t xml:space="preserve"> approach taken by Gwent Archives towards</w:t>
      </w:r>
      <w:r w:rsidRPr="3F58AE6C">
        <w:rPr>
          <w:spacing w:val="-6"/>
        </w:rPr>
        <w:t xml:space="preserve"> </w:t>
      </w:r>
      <w:r w:rsidRPr="3F58AE6C">
        <w:t>Collection</w:t>
      </w:r>
      <w:r w:rsidRPr="3F58AE6C">
        <w:rPr>
          <w:spacing w:val="-4"/>
        </w:rPr>
        <w:t xml:space="preserve"> </w:t>
      </w:r>
      <w:r w:rsidRPr="3F58AE6C">
        <w:t>Management.</w:t>
      </w:r>
      <w:r w:rsidRPr="003A4599">
        <w:tab/>
      </w:r>
      <w:r w:rsidRPr="3F58AE6C">
        <w:t>It is supported by a Collections Management Plan which outlines the objectives through which we will achieve the aims of this</w:t>
      </w:r>
      <w:r w:rsidRPr="3F58AE6C">
        <w:rPr>
          <w:spacing w:val="-4"/>
        </w:rPr>
        <w:t xml:space="preserve"> </w:t>
      </w:r>
      <w:r w:rsidRPr="3F58AE6C">
        <w:t>policy.</w:t>
      </w:r>
    </w:p>
    <w:p w14:paraId="3A78B087" w14:textId="77777777" w:rsidR="00331371" w:rsidRPr="003A4599" w:rsidRDefault="00331371">
      <w:pPr>
        <w:sectPr w:rsidR="00331371" w:rsidRPr="003A4599">
          <w:type w:val="continuous"/>
          <w:pgSz w:w="11910" w:h="16840"/>
          <w:pgMar w:top="560" w:right="1320" w:bottom="280" w:left="620" w:header="720" w:footer="720" w:gutter="0"/>
          <w:cols w:space="720"/>
        </w:sectPr>
      </w:pPr>
    </w:p>
    <w:p w14:paraId="43190E79" w14:textId="77777777" w:rsidR="00331371" w:rsidRPr="003A4599" w:rsidRDefault="0000711C">
      <w:pPr>
        <w:pStyle w:val="Heading1"/>
      </w:pPr>
      <w:bookmarkStart w:id="2" w:name="_Toc102634451"/>
      <w:r w:rsidRPr="003A4599">
        <w:lastRenderedPageBreak/>
        <w:t>Statutory and Legal Status</w:t>
      </w:r>
      <w:bookmarkEnd w:id="2"/>
    </w:p>
    <w:p w14:paraId="334D1339" w14:textId="77777777" w:rsidR="00331371" w:rsidRPr="003A4599" w:rsidRDefault="00331371">
      <w:pPr>
        <w:pStyle w:val="BodyText"/>
        <w:spacing w:before="1"/>
        <w:rPr>
          <w:b/>
          <w:sz w:val="28"/>
        </w:rPr>
      </w:pPr>
    </w:p>
    <w:p w14:paraId="2EE72E53" w14:textId="4C89E3DA" w:rsidR="00331371" w:rsidRPr="003A4599" w:rsidRDefault="0000711C">
      <w:pPr>
        <w:pStyle w:val="BodyText"/>
        <w:ind w:left="820" w:right="179"/>
      </w:pPr>
      <w:r w:rsidRPr="3F58AE6C">
        <w:t xml:space="preserve">Gwent Archives was established in 1938 with the appointment of a consulting archivist and became the Monmouthshire Record Office in 1952, serving the 'old' county of that name. In 1974, following local government </w:t>
      </w:r>
      <w:proofErr w:type="spellStart"/>
      <w:r w:rsidRPr="3F58AE6C">
        <w:t>reorganisation</w:t>
      </w:r>
      <w:proofErr w:type="spellEnd"/>
      <w:r w:rsidRPr="3F58AE6C">
        <w:t xml:space="preserve">, it became the Gwent County Record Office. Further local government changes in 1996 divided the county of Gwent into five unitary authorities. With </w:t>
      </w:r>
      <w:proofErr w:type="gramStart"/>
      <w:r w:rsidRPr="3F58AE6C">
        <w:t>a move</w:t>
      </w:r>
      <w:proofErr w:type="gramEnd"/>
      <w:r w:rsidRPr="3F58AE6C">
        <w:t xml:space="preserve"> of premises in 2011 to Ebbw Vale, the </w:t>
      </w:r>
      <w:r w:rsidR="0013241E">
        <w:t xml:space="preserve">service </w:t>
      </w:r>
      <w:r w:rsidRPr="3F58AE6C">
        <w:t>took the name of Gwent Archives.</w:t>
      </w:r>
    </w:p>
    <w:p w14:paraId="75E8FDF7" w14:textId="77777777" w:rsidR="00331371" w:rsidRPr="003A4599" w:rsidRDefault="00331371">
      <w:pPr>
        <w:pStyle w:val="BodyText"/>
      </w:pPr>
    </w:p>
    <w:p w14:paraId="0663E871" w14:textId="77777777" w:rsidR="00331371" w:rsidRPr="003A4599" w:rsidRDefault="0000711C">
      <w:pPr>
        <w:pStyle w:val="BodyText"/>
        <w:ind w:left="820" w:right="245"/>
      </w:pPr>
      <w:r w:rsidRPr="003A4599">
        <w:t>Under the statutory framework for defining the archives and records to be accepted, Gwent Archives is:</w:t>
      </w:r>
    </w:p>
    <w:p w14:paraId="41D8E655" w14:textId="77777777" w:rsidR="00331371" w:rsidRPr="003A4599" w:rsidRDefault="00331371">
      <w:pPr>
        <w:pStyle w:val="BodyText"/>
        <w:spacing w:before="1"/>
      </w:pPr>
    </w:p>
    <w:p w14:paraId="390915F5" w14:textId="77777777" w:rsidR="00331371" w:rsidRPr="003A4599" w:rsidRDefault="0000711C" w:rsidP="3F58AE6C">
      <w:pPr>
        <w:pStyle w:val="ListParagraph"/>
        <w:numPr>
          <w:ilvl w:val="0"/>
          <w:numId w:val="1"/>
        </w:numPr>
        <w:tabs>
          <w:tab w:val="left" w:pos="1540"/>
          <w:tab w:val="left" w:pos="1541"/>
        </w:tabs>
        <w:spacing w:line="294" w:lineRule="exact"/>
        <w:ind w:hanging="361"/>
        <w:rPr>
          <w:sz w:val="24"/>
          <w:szCs w:val="24"/>
        </w:rPr>
      </w:pPr>
      <w:r w:rsidRPr="3F58AE6C">
        <w:rPr>
          <w:sz w:val="24"/>
          <w:szCs w:val="24"/>
        </w:rPr>
        <w:t xml:space="preserve">a </w:t>
      </w:r>
      <w:proofErr w:type="spellStart"/>
      <w:r w:rsidRPr="3F58AE6C">
        <w:rPr>
          <w:sz w:val="24"/>
          <w:szCs w:val="24"/>
        </w:rPr>
        <w:t>recognised</w:t>
      </w:r>
      <w:proofErr w:type="spellEnd"/>
      <w:r w:rsidRPr="3F58AE6C">
        <w:rPr>
          <w:sz w:val="24"/>
          <w:szCs w:val="24"/>
        </w:rPr>
        <w:t xml:space="preserve"> place of deposit for public</w:t>
      </w:r>
      <w:r w:rsidRPr="3F58AE6C">
        <w:rPr>
          <w:spacing w:val="-10"/>
          <w:sz w:val="24"/>
          <w:szCs w:val="24"/>
        </w:rPr>
        <w:t xml:space="preserve"> </w:t>
      </w:r>
      <w:r w:rsidRPr="3F58AE6C">
        <w:rPr>
          <w:sz w:val="24"/>
          <w:szCs w:val="24"/>
        </w:rPr>
        <w:t>records</w:t>
      </w:r>
    </w:p>
    <w:p w14:paraId="2C9C31FF" w14:textId="77777777" w:rsidR="00331371" w:rsidRPr="003A4599" w:rsidRDefault="0000711C" w:rsidP="3F58AE6C">
      <w:pPr>
        <w:pStyle w:val="ListParagraph"/>
        <w:numPr>
          <w:ilvl w:val="0"/>
          <w:numId w:val="1"/>
        </w:numPr>
        <w:tabs>
          <w:tab w:val="left" w:pos="1540"/>
          <w:tab w:val="left" w:pos="1541"/>
        </w:tabs>
        <w:spacing w:line="293" w:lineRule="exact"/>
        <w:ind w:hanging="361"/>
        <w:rPr>
          <w:sz w:val="24"/>
          <w:szCs w:val="24"/>
        </w:rPr>
      </w:pPr>
      <w:r w:rsidRPr="3F58AE6C">
        <w:rPr>
          <w:sz w:val="24"/>
          <w:szCs w:val="24"/>
        </w:rPr>
        <w:t xml:space="preserve">the </w:t>
      </w:r>
      <w:proofErr w:type="spellStart"/>
      <w:r w:rsidRPr="3F58AE6C">
        <w:rPr>
          <w:sz w:val="24"/>
          <w:szCs w:val="24"/>
        </w:rPr>
        <w:t>authorised</w:t>
      </w:r>
      <w:proofErr w:type="spellEnd"/>
      <w:r w:rsidRPr="3F58AE6C">
        <w:rPr>
          <w:sz w:val="24"/>
          <w:szCs w:val="24"/>
        </w:rPr>
        <w:t xml:space="preserve"> repository for local government</w:t>
      </w:r>
      <w:r w:rsidRPr="3F58AE6C">
        <w:rPr>
          <w:spacing w:val="-10"/>
          <w:sz w:val="24"/>
          <w:szCs w:val="24"/>
        </w:rPr>
        <w:t xml:space="preserve"> </w:t>
      </w:r>
      <w:r w:rsidRPr="3F58AE6C">
        <w:rPr>
          <w:sz w:val="24"/>
          <w:szCs w:val="24"/>
        </w:rPr>
        <w:t>records</w:t>
      </w:r>
    </w:p>
    <w:p w14:paraId="7F36BCE1" w14:textId="77777777" w:rsidR="00331371" w:rsidRPr="003A4599" w:rsidRDefault="0000711C">
      <w:pPr>
        <w:pStyle w:val="ListParagraph"/>
        <w:numPr>
          <w:ilvl w:val="0"/>
          <w:numId w:val="1"/>
        </w:numPr>
        <w:tabs>
          <w:tab w:val="left" w:pos="1540"/>
          <w:tab w:val="left" w:pos="1541"/>
        </w:tabs>
        <w:spacing w:before="4" w:line="235" w:lineRule="auto"/>
        <w:ind w:right="732"/>
        <w:rPr>
          <w:sz w:val="24"/>
        </w:rPr>
      </w:pPr>
      <w:r w:rsidRPr="003A4599">
        <w:rPr>
          <w:sz w:val="24"/>
        </w:rPr>
        <w:t>approved by the Master of the Rolls for the deposit of Manorial and</w:t>
      </w:r>
      <w:r w:rsidRPr="003A4599">
        <w:rPr>
          <w:spacing w:val="-31"/>
          <w:sz w:val="24"/>
        </w:rPr>
        <w:t xml:space="preserve"> </w:t>
      </w:r>
      <w:r w:rsidRPr="003A4599">
        <w:rPr>
          <w:sz w:val="24"/>
        </w:rPr>
        <w:t>Tithe records</w:t>
      </w:r>
    </w:p>
    <w:p w14:paraId="71F8FB3F" w14:textId="77777777" w:rsidR="00331371" w:rsidRPr="003A4599" w:rsidRDefault="0000711C">
      <w:pPr>
        <w:pStyle w:val="ListParagraph"/>
        <w:numPr>
          <w:ilvl w:val="0"/>
          <w:numId w:val="1"/>
        </w:numPr>
        <w:tabs>
          <w:tab w:val="left" w:pos="1540"/>
          <w:tab w:val="left" w:pos="1541"/>
        </w:tabs>
        <w:spacing w:before="3"/>
        <w:ind w:hanging="361"/>
        <w:rPr>
          <w:sz w:val="24"/>
        </w:rPr>
      </w:pPr>
      <w:proofErr w:type="gramStart"/>
      <w:r w:rsidRPr="003A4599">
        <w:rPr>
          <w:sz w:val="24"/>
        </w:rPr>
        <w:t>an</w:t>
      </w:r>
      <w:proofErr w:type="gramEnd"/>
      <w:r w:rsidRPr="003A4599">
        <w:rPr>
          <w:sz w:val="24"/>
        </w:rPr>
        <w:t xml:space="preserve"> Accredited</w:t>
      </w:r>
      <w:r w:rsidRPr="003A4599">
        <w:rPr>
          <w:spacing w:val="-2"/>
          <w:sz w:val="24"/>
        </w:rPr>
        <w:t xml:space="preserve"> </w:t>
      </w:r>
      <w:r w:rsidRPr="003A4599">
        <w:rPr>
          <w:sz w:val="24"/>
        </w:rPr>
        <w:t>Archive</w:t>
      </w:r>
    </w:p>
    <w:p w14:paraId="77CB954C" w14:textId="77777777" w:rsidR="00331371" w:rsidRPr="003A4599" w:rsidRDefault="00331371">
      <w:pPr>
        <w:pStyle w:val="BodyText"/>
        <w:spacing w:before="10"/>
        <w:rPr>
          <w:sz w:val="23"/>
        </w:rPr>
      </w:pPr>
    </w:p>
    <w:p w14:paraId="582B76B9" w14:textId="6E879A76" w:rsidR="00331371" w:rsidRPr="003A4599" w:rsidRDefault="0000711C">
      <w:pPr>
        <w:pStyle w:val="BodyText"/>
        <w:ind w:left="820" w:right="366"/>
      </w:pPr>
      <w:r w:rsidRPr="003A4599">
        <w:t>Gwent Archives makes records accessible to its stakeholders through onsite visits,</w:t>
      </w:r>
      <w:r w:rsidR="00923DD2">
        <w:t xml:space="preserve"> digital services and resources</w:t>
      </w:r>
      <w:r w:rsidRPr="003A4599">
        <w:t xml:space="preserve">, </w:t>
      </w:r>
      <w:r w:rsidR="00B3488D">
        <w:t>remote enquiries and digitisation</w:t>
      </w:r>
      <w:r w:rsidRPr="003A4599">
        <w:t xml:space="preserve"> service</w:t>
      </w:r>
      <w:r w:rsidR="00B3488D">
        <w:t>s</w:t>
      </w:r>
      <w:r w:rsidRPr="003A4599">
        <w:t xml:space="preserve">, </w:t>
      </w:r>
      <w:r w:rsidR="00AA35D5">
        <w:t>e</w:t>
      </w:r>
      <w:r w:rsidR="00B3488D">
        <w:t>ngagement with schools and communities,</w:t>
      </w:r>
      <w:r w:rsidRPr="003A4599">
        <w:t xml:space="preserve"> and social media.</w:t>
      </w:r>
    </w:p>
    <w:p w14:paraId="167689A0" w14:textId="77777777" w:rsidR="00331371" w:rsidRPr="003A4599" w:rsidRDefault="00331371">
      <w:pPr>
        <w:pStyle w:val="BodyText"/>
        <w:rPr>
          <w:sz w:val="26"/>
        </w:rPr>
      </w:pPr>
    </w:p>
    <w:p w14:paraId="5C8A809C" w14:textId="77777777" w:rsidR="00331371" w:rsidRPr="003A4599" w:rsidRDefault="00331371">
      <w:pPr>
        <w:pStyle w:val="BodyText"/>
        <w:rPr>
          <w:sz w:val="26"/>
        </w:rPr>
      </w:pPr>
    </w:p>
    <w:p w14:paraId="4874D76F" w14:textId="77777777" w:rsidR="00331371" w:rsidRPr="003A4599" w:rsidRDefault="0000711C">
      <w:pPr>
        <w:pStyle w:val="Heading1"/>
        <w:spacing w:before="195"/>
      </w:pPr>
      <w:bookmarkStart w:id="3" w:name="_Toc102634452"/>
      <w:r w:rsidRPr="003A4599">
        <w:t>Roles and Responsibilities</w:t>
      </w:r>
      <w:bookmarkEnd w:id="3"/>
    </w:p>
    <w:p w14:paraId="45799358" w14:textId="77777777" w:rsidR="00331371" w:rsidRPr="003A4599" w:rsidRDefault="00331371">
      <w:pPr>
        <w:pStyle w:val="BodyText"/>
        <w:rPr>
          <w:b/>
          <w:sz w:val="28"/>
        </w:rPr>
      </w:pPr>
    </w:p>
    <w:p w14:paraId="64165E86" w14:textId="4DB87113" w:rsidR="00331371" w:rsidRPr="003A4599" w:rsidRDefault="0000711C">
      <w:pPr>
        <w:pStyle w:val="BodyText"/>
        <w:spacing w:before="1"/>
        <w:ind w:left="820" w:right="152"/>
      </w:pPr>
      <w:r w:rsidRPr="3F58AE6C">
        <w:t xml:space="preserve">Qualified archivists, along with the conservator, are responsible for </w:t>
      </w:r>
      <w:r w:rsidR="009F59F6">
        <w:t>the management of the digital and analogue collections</w:t>
      </w:r>
      <w:r w:rsidRPr="3F58AE6C">
        <w:t xml:space="preserve">, a process that involves the accessioning, cataloguing, storing and conservation of all archives received. To ensure a coordinated approach to Collections Management, the policies and procedures which underpin Gwent Archives’ management of its collections are interrelated. The Archivists work closely with the </w:t>
      </w:r>
      <w:r w:rsidR="0025300C">
        <w:t>user engagement</w:t>
      </w:r>
      <w:r w:rsidR="00E01951">
        <w:t xml:space="preserve"> t</w:t>
      </w:r>
      <w:r w:rsidRPr="3F58AE6C">
        <w:t>eam</w:t>
      </w:r>
      <w:r w:rsidR="00E01951">
        <w:t>s</w:t>
      </w:r>
      <w:r w:rsidRPr="3F58AE6C">
        <w:t xml:space="preserve">, the </w:t>
      </w:r>
      <w:r w:rsidR="00E01951">
        <w:t>Community Engagement</w:t>
      </w:r>
      <w:r w:rsidRPr="3F58AE6C">
        <w:t xml:space="preserve"> Archivist and the</w:t>
      </w:r>
      <w:r w:rsidR="0025300C">
        <w:t xml:space="preserve"> collections care and conservation team </w:t>
      </w:r>
      <w:r w:rsidRPr="3F58AE6C">
        <w:t>to ensure that planning for collections development, cataloguing, collections care and conservation, and digitisation is fully coordinated.</w:t>
      </w:r>
    </w:p>
    <w:p w14:paraId="4935266D" w14:textId="77777777" w:rsidR="00331371" w:rsidRPr="003A4599" w:rsidRDefault="00331371">
      <w:pPr>
        <w:pStyle w:val="BodyText"/>
        <w:rPr>
          <w:sz w:val="26"/>
        </w:rPr>
      </w:pPr>
    </w:p>
    <w:p w14:paraId="17100515" w14:textId="77777777" w:rsidR="00331371" w:rsidRPr="003A4599" w:rsidRDefault="00331371">
      <w:pPr>
        <w:pStyle w:val="BodyText"/>
        <w:rPr>
          <w:sz w:val="26"/>
        </w:rPr>
      </w:pPr>
    </w:p>
    <w:p w14:paraId="5C9FB62B" w14:textId="77777777" w:rsidR="00331371" w:rsidRPr="003A4599" w:rsidRDefault="0000711C">
      <w:pPr>
        <w:pStyle w:val="Heading1"/>
        <w:spacing w:before="195"/>
      </w:pPr>
      <w:bookmarkStart w:id="4" w:name="_Toc102634453"/>
      <w:r w:rsidRPr="003A4599">
        <w:t>Collections Management</w:t>
      </w:r>
      <w:bookmarkEnd w:id="4"/>
    </w:p>
    <w:p w14:paraId="761C6AA8" w14:textId="77777777" w:rsidR="00331371" w:rsidRPr="003A4599" w:rsidRDefault="00331371">
      <w:pPr>
        <w:pStyle w:val="BodyText"/>
        <w:spacing w:before="1"/>
        <w:rPr>
          <w:b/>
          <w:sz w:val="28"/>
        </w:rPr>
      </w:pPr>
    </w:p>
    <w:p w14:paraId="3B34A378" w14:textId="77777777" w:rsidR="00331371" w:rsidRPr="003A4599" w:rsidRDefault="0000711C">
      <w:pPr>
        <w:pStyle w:val="BodyText"/>
        <w:ind w:left="820" w:right="232"/>
      </w:pPr>
      <w:r w:rsidRPr="003A4599">
        <w:t>Our Collections Management Policy draws together the following elements reflected in the Mission Statement:</w:t>
      </w:r>
    </w:p>
    <w:p w14:paraId="6D7016EC" w14:textId="77777777" w:rsidR="00331371" w:rsidRPr="003A4599" w:rsidRDefault="00331371">
      <w:pPr>
        <w:pStyle w:val="BodyText"/>
        <w:spacing w:before="1"/>
      </w:pPr>
    </w:p>
    <w:p w14:paraId="002C3DE5" w14:textId="7B42E8DC" w:rsidR="00331371" w:rsidRPr="003A4599" w:rsidRDefault="0000711C" w:rsidP="3F58AE6C">
      <w:pPr>
        <w:pStyle w:val="ListParagraph"/>
        <w:numPr>
          <w:ilvl w:val="0"/>
          <w:numId w:val="1"/>
        </w:numPr>
        <w:tabs>
          <w:tab w:val="left" w:pos="1540"/>
          <w:tab w:val="left" w:pos="1541"/>
        </w:tabs>
        <w:ind w:right="500"/>
        <w:rPr>
          <w:sz w:val="24"/>
          <w:szCs w:val="24"/>
        </w:rPr>
      </w:pPr>
      <w:r w:rsidRPr="3F58AE6C">
        <w:rPr>
          <w:sz w:val="24"/>
          <w:szCs w:val="24"/>
        </w:rPr>
        <w:t xml:space="preserve">Actively collects the archival records of the old administrative county of Gwent, which are managed, catalogued, preserved and made available for </w:t>
      </w:r>
      <w:r w:rsidR="00754812">
        <w:rPr>
          <w:sz w:val="24"/>
          <w:szCs w:val="24"/>
        </w:rPr>
        <w:t>use</w:t>
      </w:r>
    </w:p>
    <w:p w14:paraId="3C4F2BDF" w14:textId="77777777" w:rsidR="00331371" w:rsidRPr="003A4599" w:rsidRDefault="0000711C">
      <w:pPr>
        <w:pStyle w:val="ListParagraph"/>
        <w:numPr>
          <w:ilvl w:val="0"/>
          <w:numId w:val="1"/>
        </w:numPr>
        <w:tabs>
          <w:tab w:val="left" w:pos="1540"/>
          <w:tab w:val="left" w:pos="1541"/>
        </w:tabs>
        <w:ind w:right="720"/>
        <w:rPr>
          <w:sz w:val="24"/>
        </w:rPr>
      </w:pPr>
      <w:r w:rsidRPr="003A4599">
        <w:rPr>
          <w:sz w:val="24"/>
        </w:rPr>
        <w:t>Works on behalf of five authorities, who make up our Governing Body,</w:t>
      </w:r>
      <w:r w:rsidRPr="003A4599">
        <w:rPr>
          <w:spacing w:val="-32"/>
          <w:sz w:val="24"/>
        </w:rPr>
        <w:t xml:space="preserve"> </w:t>
      </w:r>
      <w:r w:rsidRPr="003A4599">
        <w:rPr>
          <w:sz w:val="24"/>
        </w:rPr>
        <w:t>to ensure that Gwent Archives supports current council</w:t>
      </w:r>
      <w:r w:rsidRPr="003A4599">
        <w:rPr>
          <w:spacing w:val="-8"/>
          <w:sz w:val="24"/>
        </w:rPr>
        <w:t xml:space="preserve"> </w:t>
      </w:r>
      <w:r w:rsidRPr="003A4599">
        <w:rPr>
          <w:sz w:val="24"/>
        </w:rPr>
        <w:t>policies</w:t>
      </w:r>
    </w:p>
    <w:p w14:paraId="4452CDE6" w14:textId="77777777" w:rsidR="00331371" w:rsidRPr="003A4599" w:rsidRDefault="00331371">
      <w:pPr>
        <w:rPr>
          <w:sz w:val="24"/>
        </w:rPr>
        <w:sectPr w:rsidR="00331371" w:rsidRPr="003A4599">
          <w:footerReference w:type="default" r:id="rId13"/>
          <w:pgSz w:w="11910" w:h="16840"/>
          <w:pgMar w:top="1340" w:right="1320" w:bottom="1200" w:left="620" w:header="0" w:footer="1003" w:gutter="0"/>
          <w:pgNumType w:start="2"/>
          <w:cols w:space="720"/>
        </w:sectPr>
      </w:pPr>
    </w:p>
    <w:p w14:paraId="37B1C826" w14:textId="77777777" w:rsidR="00331371" w:rsidRPr="003A4599" w:rsidRDefault="0000711C">
      <w:pPr>
        <w:pStyle w:val="Heading1"/>
      </w:pPr>
      <w:bookmarkStart w:id="5" w:name="_Toc102634454"/>
      <w:r w:rsidRPr="003A4599">
        <w:lastRenderedPageBreak/>
        <w:t>Standards</w:t>
      </w:r>
      <w:bookmarkEnd w:id="5"/>
    </w:p>
    <w:p w14:paraId="3A581A3E" w14:textId="77777777" w:rsidR="00331371" w:rsidRPr="003A4599" w:rsidRDefault="00331371">
      <w:pPr>
        <w:pStyle w:val="BodyText"/>
        <w:spacing w:before="1"/>
        <w:rPr>
          <w:b/>
          <w:sz w:val="28"/>
        </w:rPr>
      </w:pPr>
    </w:p>
    <w:p w14:paraId="60F39E74" w14:textId="77777777" w:rsidR="00331371" w:rsidRPr="003A4599" w:rsidRDefault="0000711C">
      <w:pPr>
        <w:pStyle w:val="BodyText"/>
        <w:ind w:left="820" w:right="258"/>
      </w:pPr>
      <w:r w:rsidRPr="3F58AE6C">
        <w:t>The following standards are applicable to Gwent Archives’ Collections Management policy:</w:t>
      </w:r>
    </w:p>
    <w:p w14:paraId="7D12B17D" w14:textId="77777777" w:rsidR="00331371" w:rsidRPr="003A4599" w:rsidRDefault="00331371">
      <w:pPr>
        <w:pStyle w:val="BodyText"/>
        <w:spacing w:before="4"/>
        <w:rPr>
          <w:sz w:val="15"/>
        </w:rPr>
      </w:pPr>
    </w:p>
    <w:p w14:paraId="512FF116" w14:textId="77777777" w:rsidR="00331371" w:rsidRPr="003A4599" w:rsidRDefault="0000711C">
      <w:pPr>
        <w:pStyle w:val="ListParagraph"/>
        <w:numPr>
          <w:ilvl w:val="1"/>
          <w:numId w:val="1"/>
        </w:numPr>
        <w:tabs>
          <w:tab w:val="left" w:pos="2261"/>
        </w:tabs>
        <w:spacing w:before="100" w:line="273" w:lineRule="auto"/>
        <w:ind w:right="325"/>
        <w:jc w:val="both"/>
        <w:rPr>
          <w:sz w:val="24"/>
        </w:rPr>
      </w:pPr>
      <w:r w:rsidRPr="003A4599">
        <w:rPr>
          <w:sz w:val="24"/>
        </w:rPr>
        <w:t>EN16893:2018 – Conservation of Cultural Heritage. Specifications for location, construction and modification of buildings or rooms intended for the storage or use of heritage</w:t>
      </w:r>
      <w:r w:rsidRPr="003A4599">
        <w:rPr>
          <w:spacing w:val="-7"/>
          <w:sz w:val="24"/>
        </w:rPr>
        <w:t xml:space="preserve"> </w:t>
      </w:r>
      <w:r w:rsidRPr="003A4599">
        <w:rPr>
          <w:sz w:val="24"/>
        </w:rPr>
        <w:t>collections</w:t>
      </w:r>
    </w:p>
    <w:p w14:paraId="3740A964" w14:textId="77777777" w:rsidR="00331371" w:rsidRDefault="0000711C">
      <w:pPr>
        <w:pStyle w:val="ListParagraph"/>
        <w:numPr>
          <w:ilvl w:val="1"/>
          <w:numId w:val="1"/>
        </w:numPr>
        <w:tabs>
          <w:tab w:val="left" w:pos="2261"/>
        </w:tabs>
        <w:spacing w:before="5" w:line="273" w:lineRule="auto"/>
        <w:ind w:right="316"/>
        <w:jc w:val="both"/>
        <w:rPr>
          <w:sz w:val="24"/>
        </w:rPr>
      </w:pPr>
      <w:r w:rsidRPr="003A4599">
        <w:rPr>
          <w:sz w:val="24"/>
        </w:rPr>
        <w:t xml:space="preserve">BS4971:2002 - Recommendations for Repair and </w:t>
      </w:r>
      <w:proofErr w:type="gramStart"/>
      <w:r w:rsidRPr="003A4599">
        <w:rPr>
          <w:sz w:val="24"/>
        </w:rPr>
        <w:t>allied</w:t>
      </w:r>
      <w:proofErr w:type="gramEnd"/>
      <w:r w:rsidRPr="003A4599">
        <w:rPr>
          <w:sz w:val="24"/>
        </w:rPr>
        <w:t xml:space="preserve"> processes for the conservation of</w:t>
      </w:r>
      <w:r w:rsidRPr="003A4599">
        <w:rPr>
          <w:spacing w:val="-3"/>
          <w:sz w:val="24"/>
        </w:rPr>
        <w:t xml:space="preserve"> </w:t>
      </w:r>
      <w:r w:rsidRPr="003A4599">
        <w:rPr>
          <w:sz w:val="24"/>
        </w:rPr>
        <w:t>documents.</w:t>
      </w:r>
    </w:p>
    <w:p w14:paraId="15832D21" w14:textId="3A9C4B8C" w:rsidR="00D95820" w:rsidRPr="00AB41BD" w:rsidRDefault="00AB41BD">
      <w:pPr>
        <w:pStyle w:val="ListParagraph"/>
        <w:numPr>
          <w:ilvl w:val="1"/>
          <w:numId w:val="1"/>
        </w:numPr>
        <w:tabs>
          <w:tab w:val="left" w:pos="2261"/>
        </w:tabs>
        <w:spacing w:before="5" w:line="273" w:lineRule="auto"/>
        <w:ind w:right="316"/>
        <w:jc w:val="both"/>
        <w:rPr>
          <w:rStyle w:val="Hyperlink"/>
          <w:sz w:val="24"/>
        </w:rPr>
      </w:pPr>
      <w:r>
        <w:rPr>
          <w:sz w:val="24"/>
        </w:rPr>
        <w:fldChar w:fldCharType="begin"/>
      </w:r>
      <w:r>
        <w:rPr>
          <w:sz w:val="24"/>
        </w:rPr>
        <w:instrText>HYPERLINK "https://www.ica.org/resource/isadg-general-international-standard-archival-description-second-edition/"</w:instrText>
      </w:r>
      <w:r>
        <w:rPr>
          <w:sz w:val="24"/>
        </w:rPr>
      </w:r>
      <w:r>
        <w:rPr>
          <w:sz w:val="24"/>
        </w:rPr>
        <w:fldChar w:fldCharType="separate"/>
      </w:r>
      <w:r w:rsidR="00563812" w:rsidRPr="00AB41BD">
        <w:rPr>
          <w:rStyle w:val="Hyperlink"/>
          <w:sz w:val="24"/>
        </w:rPr>
        <w:t xml:space="preserve">General International Standard Archive Description </w:t>
      </w:r>
      <w:r w:rsidR="004238A2" w:rsidRPr="00AB41BD">
        <w:rPr>
          <w:rStyle w:val="Hyperlink"/>
          <w:sz w:val="24"/>
        </w:rPr>
        <w:t>[</w:t>
      </w:r>
      <w:r w:rsidR="00563812" w:rsidRPr="00AB41BD">
        <w:rPr>
          <w:rStyle w:val="Hyperlink"/>
          <w:sz w:val="24"/>
        </w:rPr>
        <w:t>ISAD(G)</w:t>
      </w:r>
      <w:r w:rsidR="004238A2" w:rsidRPr="00AB41BD">
        <w:rPr>
          <w:rStyle w:val="Hyperlink"/>
          <w:sz w:val="24"/>
        </w:rPr>
        <w:t>]</w:t>
      </w:r>
      <w:r w:rsidR="00563812" w:rsidRPr="00AB41BD">
        <w:rPr>
          <w:rStyle w:val="Hyperlink"/>
          <w:sz w:val="24"/>
        </w:rPr>
        <w:t>, 2</w:t>
      </w:r>
      <w:r w:rsidR="00563812" w:rsidRPr="00AB41BD">
        <w:rPr>
          <w:rStyle w:val="Hyperlink"/>
          <w:vertAlign w:val="superscript"/>
        </w:rPr>
        <w:t>nd</w:t>
      </w:r>
      <w:r w:rsidR="00563812" w:rsidRPr="00AB41BD">
        <w:rPr>
          <w:rStyle w:val="Hyperlink"/>
          <w:sz w:val="24"/>
        </w:rPr>
        <w:t xml:space="preserve"> Edition, </w:t>
      </w:r>
      <w:r w:rsidR="00D95820" w:rsidRPr="00AB41BD">
        <w:rPr>
          <w:rStyle w:val="Hyperlink"/>
          <w:sz w:val="24"/>
        </w:rPr>
        <w:t>2000</w:t>
      </w:r>
      <w:r w:rsidR="00225687" w:rsidRPr="00AB41BD">
        <w:rPr>
          <w:rStyle w:val="Hyperlink"/>
          <w:sz w:val="24"/>
        </w:rPr>
        <w:t xml:space="preserve"> </w:t>
      </w:r>
    </w:p>
    <w:p w14:paraId="164F0FD9" w14:textId="37AF3242" w:rsidR="004238A2" w:rsidRPr="004238A2" w:rsidRDefault="00AB41BD" w:rsidP="004238A2">
      <w:pPr>
        <w:pStyle w:val="ListParagraph"/>
        <w:numPr>
          <w:ilvl w:val="1"/>
          <w:numId w:val="1"/>
        </w:numPr>
        <w:tabs>
          <w:tab w:val="left" w:pos="2261"/>
        </w:tabs>
        <w:spacing w:before="5" w:line="273" w:lineRule="auto"/>
        <w:ind w:right="316"/>
        <w:jc w:val="both"/>
        <w:rPr>
          <w:sz w:val="24"/>
        </w:rPr>
      </w:pPr>
      <w:r>
        <w:rPr>
          <w:sz w:val="24"/>
        </w:rPr>
        <w:fldChar w:fldCharType="end"/>
      </w:r>
      <w:hyperlink r:id="rId14" w:history="1">
        <w:r w:rsidR="004238A2" w:rsidRPr="000F113A">
          <w:rPr>
            <w:rStyle w:val="Hyperlink"/>
            <w:sz w:val="24"/>
          </w:rPr>
          <w:t>International Council on Archives, International Standard Archival Authority for Corporate Bodies, Persons and Families [ISAAR(CPF)</w:t>
        </w:r>
        <w:proofErr w:type="gramStart"/>
        <w:r w:rsidR="004238A2" w:rsidRPr="000F113A">
          <w:rPr>
            <w:rStyle w:val="Hyperlink"/>
            <w:sz w:val="24"/>
          </w:rPr>
          <w:t xml:space="preserve">] </w:t>
        </w:r>
        <w:r w:rsidR="00831992" w:rsidRPr="000F113A">
          <w:rPr>
            <w:rStyle w:val="Hyperlink"/>
            <w:sz w:val="24"/>
          </w:rPr>
          <w:t>,</w:t>
        </w:r>
        <w:proofErr w:type="gramEnd"/>
        <w:r w:rsidR="00831992" w:rsidRPr="000F113A">
          <w:rPr>
            <w:rStyle w:val="Hyperlink"/>
            <w:sz w:val="24"/>
          </w:rPr>
          <w:t xml:space="preserve"> 2</w:t>
        </w:r>
        <w:r w:rsidR="00831992" w:rsidRPr="000F113A">
          <w:rPr>
            <w:rStyle w:val="Hyperlink"/>
            <w:sz w:val="24"/>
            <w:vertAlign w:val="superscript"/>
          </w:rPr>
          <w:t>nd</w:t>
        </w:r>
        <w:r w:rsidR="00831992" w:rsidRPr="000F113A">
          <w:rPr>
            <w:rStyle w:val="Hyperlink"/>
            <w:sz w:val="24"/>
          </w:rPr>
          <w:t xml:space="preserve"> Edition</w:t>
        </w:r>
      </w:hyperlink>
    </w:p>
    <w:p w14:paraId="3C648EA4" w14:textId="4223E717" w:rsidR="00947938" w:rsidRPr="006E27A2" w:rsidRDefault="004238A2" w:rsidP="3CC981B5">
      <w:pPr>
        <w:pStyle w:val="ListParagraph"/>
        <w:numPr>
          <w:ilvl w:val="1"/>
          <w:numId w:val="1"/>
        </w:numPr>
        <w:tabs>
          <w:tab w:val="left" w:pos="2261"/>
        </w:tabs>
        <w:spacing w:before="5" w:line="273" w:lineRule="auto"/>
        <w:ind w:right="316"/>
        <w:jc w:val="both"/>
        <w:rPr>
          <w:sz w:val="24"/>
        </w:rPr>
      </w:pPr>
      <w:hyperlink r:id="rId15" w:history="1">
        <w:r w:rsidRPr="00562511">
          <w:rPr>
            <w:rStyle w:val="Hyperlink"/>
            <w:sz w:val="24"/>
            <w:szCs w:val="24"/>
          </w:rPr>
          <w:t>National Council on Archives, Rules for the Construction of Personal, Place and Corporate Names [NCA Rules]</w:t>
        </w:r>
      </w:hyperlink>
    </w:p>
    <w:p w14:paraId="2A24204D" w14:textId="632A26CD" w:rsidR="280506EA" w:rsidRPr="006E27A2" w:rsidRDefault="280506EA" w:rsidP="3CC981B5">
      <w:pPr>
        <w:pStyle w:val="ListParagraph"/>
        <w:numPr>
          <w:ilvl w:val="1"/>
          <w:numId w:val="1"/>
        </w:numPr>
        <w:tabs>
          <w:tab w:val="left" w:pos="2261"/>
        </w:tabs>
        <w:spacing w:before="5" w:line="273" w:lineRule="auto"/>
        <w:ind w:right="316"/>
        <w:jc w:val="both"/>
        <w:rPr>
          <w:sz w:val="24"/>
          <w:szCs w:val="24"/>
        </w:rPr>
      </w:pPr>
      <w:hyperlink r:id="rId16" w:history="1">
        <w:r w:rsidRPr="00C973CE">
          <w:rPr>
            <w:rStyle w:val="Hyperlink"/>
            <w:sz w:val="24"/>
            <w:szCs w:val="24"/>
          </w:rPr>
          <w:t>Archives and Records Association UK and Ireland</w:t>
        </w:r>
        <w:r w:rsidR="7AAED0DD" w:rsidRPr="00C973CE">
          <w:rPr>
            <w:rStyle w:val="Hyperlink"/>
            <w:sz w:val="24"/>
            <w:szCs w:val="24"/>
          </w:rPr>
          <w:t>, Code of Ethics, 2024</w:t>
        </w:r>
      </w:hyperlink>
    </w:p>
    <w:p w14:paraId="1A61AC3F" w14:textId="348B90A4" w:rsidR="7AAED0DD" w:rsidRDefault="7AAED0DD" w:rsidP="3CC981B5">
      <w:pPr>
        <w:pStyle w:val="ListParagraph"/>
        <w:numPr>
          <w:ilvl w:val="1"/>
          <w:numId w:val="1"/>
        </w:numPr>
        <w:tabs>
          <w:tab w:val="left" w:pos="2261"/>
        </w:tabs>
        <w:spacing w:before="5" w:line="273" w:lineRule="auto"/>
        <w:ind w:right="316"/>
        <w:jc w:val="both"/>
        <w:rPr>
          <w:sz w:val="24"/>
          <w:szCs w:val="24"/>
        </w:rPr>
      </w:pPr>
      <w:hyperlink r:id="rId17" w:history="1">
        <w:r w:rsidRPr="00FC079F">
          <w:rPr>
            <w:rStyle w:val="Hyperlink"/>
            <w:sz w:val="24"/>
            <w:szCs w:val="24"/>
          </w:rPr>
          <w:t>Public Services Quality Group, Standard for Access to Archives, 2008</w:t>
        </w:r>
      </w:hyperlink>
    </w:p>
    <w:p w14:paraId="46AF3759" w14:textId="77777777" w:rsidR="00331371" w:rsidRPr="003A4599" w:rsidRDefault="00331371">
      <w:pPr>
        <w:pStyle w:val="BodyText"/>
        <w:rPr>
          <w:sz w:val="26"/>
        </w:rPr>
      </w:pPr>
    </w:p>
    <w:p w14:paraId="4AEB18E3" w14:textId="77777777" w:rsidR="00331371" w:rsidRPr="003A4599" w:rsidRDefault="00331371">
      <w:pPr>
        <w:pStyle w:val="BodyText"/>
        <w:spacing w:before="4"/>
        <w:rPr>
          <w:sz w:val="36"/>
        </w:rPr>
      </w:pPr>
    </w:p>
    <w:p w14:paraId="3826A836" w14:textId="77777777" w:rsidR="00331371" w:rsidRPr="003A4599" w:rsidRDefault="0000711C">
      <w:pPr>
        <w:pStyle w:val="Heading1"/>
        <w:spacing w:before="0"/>
      </w:pPr>
      <w:bookmarkStart w:id="6" w:name="_Toc102634455"/>
      <w:r w:rsidRPr="003A4599">
        <w:t>Inter-relationships</w:t>
      </w:r>
      <w:bookmarkEnd w:id="6"/>
    </w:p>
    <w:p w14:paraId="3E100119" w14:textId="77777777" w:rsidR="00331371" w:rsidRPr="003A4599" w:rsidRDefault="00331371">
      <w:pPr>
        <w:pStyle w:val="BodyText"/>
        <w:spacing w:before="5"/>
        <w:rPr>
          <w:b/>
          <w:sz w:val="28"/>
        </w:rPr>
      </w:pPr>
    </w:p>
    <w:p w14:paraId="070701FD" w14:textId="77777777" w:rsidR="00331371" w:rsidRPr="003A4599" w:rsidRDefault="0000711C">
      <w:pPr>
        <w:pStyle w:val="BodyText"/>
        <w:spacing w:before="1" w:line="237" w:lineRule="auto"/>
        <w:ind w:left="820" w:right="471"/>
      </w:pPr>
      <w:r w:rsidRPr="003A4599">
        <w:t xml:space="preserve">Gwent </w:t>
      </w:r>
      <w:proofErr w:type="gramStart"/>
      <w:r w:rsidRPr="003A4599">
        <w:t>Archives’</w:t>
      </w:r>
      <w:proofErr w:type="gramEnd"/>
      <w:r w:rsidRPr="003A4599">
        <w:t xml:space="preserve"> coordinated approach to collection management is better viewed through the inter-relationships which exist within the service</w:t>
      </w:r>
    </w:p>
    <w:p w14:paraId="32E3FB96" w14:textId="77777777" w:rsidR="00331371" w:rsidRPr="003A4599" w:rsidRDefault="00331371">
      <w:pPr>
        <w:pStyle w:val="BodyText"/>
        <w:spacing w:before="1"/>
      </w:pPr>
    </w:p>
    <w:p w14:paraId="6F377791" w14:textId="77777777" w:rsidR="00331371" w:rsidRPr="003A4599" w:rsidRDefault="0000711C" w:rsidP="3F58AE6C">
      <w:pPr>
        <w:pStyle w:val="ListParagraph"/>
        <w:numPr>
          <w:ilvl w:val="0"/>
          <w:numId w:val="1"/>
        </w:numPr>
        <w:tabs>
          <w:tab w:val="left" w:pos="1540"/>
          <w:tab w:val="left" w:pos="1541"/>
        </w:tabs>
        <w:ind w:right="179"/>
        <w:rPr>
          <w:sz w:val="24"/>
          <w:szCs w:val="24"/>
        </w:rPr>
      </w:pPr>
      <w:r w:rsidRPr="3F58AE6C">
        <w:rPr>
          <w:sz w:val="24"/>
          <w:szCs w:val="24"/>
        </w:rPr>
        <w:t xml:space="preserve">Deposits of records: these enter Gwent Archives in various ways: through routine accrual (sometimes through legal necessity) and passive activity. The service has started to </w:t>
      </w:r>
      <w:proofErr w:type="spellStart"/>
      <w:r w:rsidRPr="3F58AE6C">
        <w:rPr>
          <w:sz w:val="24"/>
          <w:szCs w:val="24"/>
        </w:rPr>
        <w:t>analyse</w:t>
      </w:r>
      <w:proofErr w:type="spellEnd"/>
      <w:r w:rsidRPr="3F58AE6C">
        <w:rPr>
          <w:sz w:val="24"/>
          <w:szCs w:val="24"/>
        </w:rPr>
        <w:t xml:space="preserve"> its </w:t>
      </w:r>
      <w:proofErr w:type="gramStart"/>
      <w:r w:rsidRPr="3F58AE6C">
        <w:rPr>
          <w:sz w:val="24"/>
          <w:szCs w:val="24"/>
        </w:rPr>
        <w:t>holdings, and</w:t>
      </w:r>
      <w:proofErr w:type="gramEnd"/>
      <w:r w:rsidRPr="3F58AE6C">
        <w:rPr>
          <w:sz w:val="24"/>
          <w:szCs w:val="24"/>
        </w:rPr>
        <w:t xml:space="preserve"> has identified areas where the collection needs to be actively developed. Potential deposits are assessed against our Archive Collections Policy to ensure effective use of resources, and that material can be appropriately managed within our existing frameworks.</w:t>
      </w:r>
    </w:p>
    <w:p w14:paraId="3DF2D9DB" w14:textId="77777777" w:rsidR="00331371" w:rsidRPr="003A4599" w:rsidRDefault="0000711C" w:rsidP="3F58AE6C">
      <w:pPr>
        <w:pStyle w:val="ListParagraph"/>
        <w:numPr>
          <w:ilvl w:val="0"/>
          <w:numId w:val="1"/>
        </w:numPr>
        <w:tabs>
          <w:tab w:val="left" w:pos="1540"/>
          <w:tab w:val="left" w:pos="1541"/>
        </w:tabs>
        <w:ind w:right="138"/>
        <w:rPr>
          <w:sz w:val="24"/>
          <w:szCs w:val="24"/>
        </w:rPr>
      </w:pPr>
      <w:r w:rsidRPr="3F58AE6C">
        <w:rPr>
          <w:sz w:val="24"/>
          <w:szCs w:val="24"/>
        </w:rPr>
        <w:t xml:space="preserve">New accessions: these are initially assessed for preservation/conservation needs prior to entering the strong rooms. Accessions will then be prioritised for cataloguing and conservation work, to ensure that they are made accessible as soon as possible. In managing the backlog of uncatalogued items, Gwent Archives </w:t>
      </w:r>
      <w:proofErr w:type="spellStart"/>
      <w:r w:rsidRPr="3F58AE6C">
        <w:rPr>
          <w:sz w:val="24"/>
          <w:szCs w:val="24"/>
        </w:rPr>
        <w:t>endeavours</w:t>
      </w:r>
      <w:proofErr w:type="spellEnd"/>
      <w:r w:rsidRPr="3F58AE6C">
        <w:rPr>
          <w:sz w:val="24"/>
          <w:szCs w:val="24"/>
        </w:rPr>
        <w:t xml:space="preserve"> to provide opportunities for funding and for training and development opportunities for</w:t>
      </w:r>
      <w:r w:rsidRPr="3F58AE6C">
        <w:rPr>
          <w:spacing w:val="-4"/>
          <w:sz w:val="24"/>
          <w:szCs w:val="24"/>
        </w:rPr>
        <w:t xml:space="preserve"> </w:t>
      </w:r>
      <w:r w:rsidRPr="3F58AE6C">
        <w:rPr>
          <w:sz w:val="24"/>
          <w:szCs w:val="24"/>
        </w:rPr>
        <w:t>staff</w:t>
      </w:r>
    </w:p>
    <w:p w14:paraId="289C7ADB" w14:textId="77777777" w:rsidR="00331371" w:rsidRPr="003A4599" w:rsidRDefault="0000711C" w:rsidP="3F58AE6C">
      <w:pPr>
        <w:pStyle w:val="ListParagraph"/>
        <w:numPr>
          <w:ilvl w:val="0"/>
          <w:numId w:val="1"/>
        </w:numPr>
        <w:tabs>
          <w:tab w:val="left" w:pos="1540"/>
          <w:tab w:val="left" w:pos="1541"/>
        </w:tabs>
        <w:ind w:right="259"/>
        <w:rPr>
          <w:sz w:val="24"/>
          <w:szCs w:val="24"/>
        </w:rPr>
      </w:pPr>
      <w:r w:rsidRPr="3F58AE6C">
        <w:rPr>
          <w:sz w:val="24"/>
          <w:szCs w:val="24"/>
        </w:rPr>
        <w:t>Use: demand from users of the service informs priorities for cataloguing. In addition to conservation assessments, user interest also drives conservation priorities. The provision of surrogates (including digitisation) may be considered to enhance access and help ensure the long-term preservation of material in high</w:t>
      </w:r>
      <w:r w:rsidRPr="3F58AE6C">
        <w:rPr>
          <w:spacing w:val="-1"/>
          <w:sz w:val="24"/>
          <w:szCs w:val="24"/>
        </w:rPr>
        <w:t xml:space="preserve"> </w:t>
      </w:r>
      <w:r w:rsidRPr="3F58AE6C">
        <w:rPr>
          <w:sz w:val="24"/>
          <w:szCs w:val="24"/>
        </w:rPr>
        <w:t>demand.</w:t>
      </w:r>
    </w:p>
    <w:p w14:paraId="1621E44D" w14:textId="77777777" w:rsidR="00331371" w:rsidRPr="003A4599" w:rsidRDefault="0000711C">
      <w:pPr>
        <w:pStyle w:val="ListParagraph"/>
        <w:numPr>
          <w:ilvl w:val="0"/>
          <w:numId w:val="1"/>
        </w:numPr>
        <w:tabs>
          <w:tab w:val="left" w:pos="1540"/>
          <w:tab w:val="left" w:pos="1541"/>
        </w:tabs>
        <w:ind w:right="166"/>
        <w:rPr>
          <w:sz w:val="24"/>
        </w:rPr>
      </w:pPr>
      <w:r w:rsidRPr="003A4599">
        <w:rPr>
          <w:sz w:val="24"/>
        </w:rPr>
        <w:t xml:space="preserve">Digital records: the acquisition of digital archival material is moderated </w:t>
      </w:r>
      <w:r w:rsidRPr="003A4599">
        <w:rPr>
          <w:sz w:val="24"/>
        </w:rPr>
        <w:lastRenderedPageBreak/>
        <w:t>through the Digital Preservation Policy. Gwent Archives is part of the Archives and Records Council Wales Digital Preservation Consortium and is working with this group on All-Wales Digital Preservation</w:t>
      </w:r>
      <w:r w:rsidRPr="003A4599">
        <w:rPr>
          <w:spacing w:val="-4"/>
          <w:sz w:val="24"/>
        </w:rPr>
        <w:t xml:space="preserve"> </w:t>
      </w:r>
      <w:r w:rsidRPr="003A4599">
        <w:rPr>
          <w:sz w:val="24"/>
        </w:rPr>
        <w:t>solutions.</w:t>
      </w:r>
    </w:p>
    <w:p w14:paraId="568CE7E4" w14:textId="77777777" w:rsidR="00AB41BD" w:rsidRDefault="0000711C">
      <w:pPr>
        <w:pStyle w:val="ListParagraph"/>
        <w:numPr>
          <w:ilvl w:val="0"/>
          <w:numId w:val="1"/>
        </w:numPr>
        <w:tabs>
          <w:tab w:val="left" w:pos="1540"/>
          <w:tab w:val="left" w:pos="1541"/>
        </w:tabs>
        <w:ind w:right="142"/>
        <w:rPr>
          <w:sz w:val="24"/>
        </w:rPr>
      </w:pPr>
      <w:r w:rsidRPr="003A4599">
        <w:rPr>
          <w:sz w:val="24"/>
        </w:rPr>
        <w:t xml:space="preserve">Disaster planning: Gwent Archives’ Emergency Preparedness Plan provides a strategy with procedures for managing the risks to the service’s collections </w:t>
      </w:r>
    </w:p>
    <w:p w14:paraId="2D400F0D" w14:textId="190B035E" w:rsidR="00331371" w:rsidRDefault="0000711C" w:rsidP="00AB41BD">
      <w:pPr>
        <w:pStyle w:val="ListParagraph"/>
        <w:tabs>
          <w:tab w:val="left" w:pos="1540"/>
          <w:tab w:val="left" w:pos="1541"/>
        </w:tabs>
        <w:ind w:right="142" w:firstLine="0"/>
        <w:rPr>
          <w:sz w:val="24"/>
        </w:rPr>
      </w:pPr>
      <w:r w:rsidRPr="003A4599">
        <w:rPr>
          <w:sz w:val="24"/>
        </w:rPr>
        <w:t>onsite.</w:t>
      </w:r>
    </w:p>
    <w:p w14:paraId="4C5529E5" w14:textId="77777777" w:rsidR="00AB41BD" w:rsidRDefault="00AB41BD" w:rsidP="00AB41BD">
      <w:pPr>
        <w:pStyle w:val="ListParagraph"/>
        <w:tabs>
          <w:tab w:val="left" w:pos="1540"/>
          <w:tab w:val="left" w:pos="1541"/>
        </w:tabs>
        <w:ind w:right="142" w:firstLine="0"/>
        <w:rPr>
          <w:sz w:val="24"/>
        </w:rPr>
      </w:pPr>
    </w:p>
    <w:p w14:paraId="5EAF6BDB" w14:textId="77777777" w:rsidR="00AB41BD" w:rsidRDefault="00AB41BD" w:rsidP="00AB41BD">
      <w:pPr>
        <w:pStyle w:val="ListParagraph"/>
        <w:tabs>
          <w:tab w:val="left" w:pos="1540"/>
          <w:tab w:val="left" w:pos="1541"/>
        </w:tabs>
        <w:ind w:right="142" w:firstLine="0"/>
        <w:rPr>
          <w:sz w:val="24"/>
        </w:rPr>
      </w:pPr>
    </w:p>
    <w:p w14:paraId="224E645C" w14:textId="77777777" w:rsidR="00331371" w:rsidRPr="003A4599" w:rsidRDefault="0000711C">
      <w:pPr>
        <w:pStyle w:val="Heading1"/>
        <w:spacing w:before="218"/>
      </w:pPr>
      <w:bookmarkStart w:id="7" w:name="_Toc102634456"/>
      <w:r w:rsidRPr="003A4599">
        <w:t>Related Policies and Plans</w:t>
      </w:r>
      <w:bookmarkEnd w:id="7"/>
    </w:p>
    <w:p w14:paraId="346CE6C7" w14:textId="4E288F7D" w:rsidR="00331371" w:rsidRDefault="00331371">
      <w:pPr>
        <w:pStyle w:val="BodyText"/>
        <w:spacing w:before="3"/>
        <w:rPr>
          <w:b/>
          <w:sz w:val="28"/>
        </w:rPr>
      </w:pPr>
    </w:p>
    <w:p w14:paraId="05157F09" w14:textId="0186228C" w:rsidR="00B26236" w:rsidRDefault="00B26236" w:rsidP="00B26236">
      <w:pPr>
        <w:pStyle w:val="BodyText"/>
        <w:spacing w:before="3"/>
        <w:ind w:left="851"/>
        <w:rPr>
          <w:bCs/>
        </w:rPr>
      </w:pPr>
      <w:r>
        <w:rPr>
          <w:bCs/>
        </w:rPr>
        <w:t xml:space="preserve">The Collections Management Policy should be read in conjunction with the following </w:t>
      </w:r>
      <w:hyperlink r:id="rId18" w:history="1">
        <w:r w:rsidRPr="00B26236">
          <w:rPr>
            <w:rStyle w:val="Hyperlink"/>
            <w:bCs/>
          </w:rPr>
          <w:t>policies</w:t>
        </w:r>
      </w:hyperlink>
      <w:r>
        <w:rPr>
          <w:bCs/>
        </w:rPr>
        <w:t xml:space="preserve"> and plans:</w:t>
      </w:r>
    </w:p>
    <w:p w14:paraId="53514A8E" w14:textId="77777777" w:rsidR="00B26236" w:rsidRPr="00B26236" w:rsidRDefault="00B26236" w:rsidP="00B26236">
      <w:pPr>
        <w:pStyle w:val="BodyText"/>
        <w:spacing w:before="3"/>
        <w:ind w:left="851"/>
        <w:rPr>
          <w:bCs/>
        </w:rPr>
      </w:pPr>
    </w:p>
    <w:p w14:paraId="0385A6AF" w14:textId="58551932" w:rsidR="00C54BF1" w:rsidRDefault="00C54BF1" w:rsidP="00B26236">
      <w:pPr>
        <w:pStyle w:val="BodyText"/>
        <w:numPr>
          <w:ilvl w:val="0"/>
          <w:numId w:val="2"/>
        </w:numPr>
        <w:ind w:right="5768"/>
      </w:pPr>
      <w:r w:rsidRPr="00B26236">
        <w:t>Appraisal Policy</w:t>
      </w:r>
    </w:p>
    <w:p w14:paraId="1082BA8B" w14:textId="77777777" w:rsidR="00B26236" w:rsidRPr="00B26236" w:rsidRDefault="0000711C" w:rsidP="00B26236">
      <w:pPr>
        <w:pStyle w:val="BodyText"/>
        <w:numPr>
          <w:ilvl w:val="0"/>
          <w:numId w:val="2"/>
        </w:numPr>
        <w:ind w:right="3733"/>
      </w:pPr>
      <w:r w:rsidRPr="00B26236">
        <w:t xml:space="preserve">Archive Collections Policy </w:t>
      </w:r>
    </w:p>
    <w:p w14:paraId="2F4963AD" w14:textId="77777777" w:rsidR="00B26236" w:rsidRPr="00B26236" w:rsidRDefault="0000711C" w:rsidP="00B26236">
      <w:pPr>
        <w:pStyle w:val="BodyText"/>
        <w:numPr>
          <w:ilvl w:val="0"/>
          <w:numId w:val="2"/>
        </w:numPr>
        <w:ind w:right="3733"/>
      </w:pPr>
      <w:r w:rsidRPr="00B26236">
        <w:t xml:space="preserve">Collections Development Plan </w:t>
      </w:r>
    </w:p>
    <w:p w14:paraId="61EFF8CC" w14:textId="77777777" w:rsidR="00B26236" w:rsidRPr="00B26236" w:rsidRDefault="0000711C" w:rsidP="00B26236">
      <w:pPr>
        <w:pStyle w:val="BodyText"/>
        <w:numPr>
          <w:ilvl w:val="0"/>
          <w:numId w:val="2"/>
        </w:numPr>
        <w:ind w:right="3733"/>
      </w:pPr>
      <w:r w:rsidRPr="00B26236">
        <w:t xml:space="preserve">Collections Information Policy </w:t>
      </w:r>
    </w:p>
    <w:p w14:paraId="50DE3376" w14:textId="2D81A6FD" w:rsidR="00331371" w:rsidRPr="003A4599" w:rsidRDefault="0000711C" w:rsidP="00B26236">
      <w:pPr>
        <w:pStyle w:val="BodyText"/>
        <w:numPr>
          <w:ilvl w:val="0"/>
          <w:numId w:val="2"/>
        </w:numPr>
        <w:ind w:right="3733"/>
      </w:pPr>
      <w:r w:rsidRPr="003A4599">
        <w:t xml:space="preserve">Collections Information Plan </w:t>
      </w:r>
    </w:p>
    <w:p w14:paraId="6C894C2C" w14:textId="4C6A80AB" w:rsidR="00B26236" w:rsidRDefault="0000711C" w:rsidP="00B26236">
      <w:pPr>
        <w:pStyle w:val="BodyText"/>
        <w:numPr>
          <w:ilvl w:val="0"/>
          <w:numId w:val="2"/>
        </w:numPr>
        <w:ind w:right="2032"/>
      </w:pPr>
      <w:r w:rsidRPr="00B26236">
        <w:t>Collections Care and Conservation Policy</w:t>
      </w:r>
      <w:r w:rsidRPr="003A4599">
        <w:t xml:space="preserve"> </w:t>
      </w:r>
    </w:p>
    <w:p w14:paraId="1E3E5A24" w14:textId="42E07FFB" w:rsidR="00B26236" w:rsidRDefault="0000711C" w:rsidP="00B26236">
      <w:pPr>
        <w:pStyle w:val="BodyText"/>
        <w:numPr>
          <w:ilvl w:val="0"/>
          <w:numId w:val="2"/>
        </w:numPr>
        <w:ind w:right="3307"/>
      </w:pPr>
      <w:r w:rsidRPr="003A4599">
        <w:t>Collections Care and Conservation</w:t>
      </w:r>
      <w:r w:rsidR="00B26236">
        <w:t xml:space="preserve"> P</w:t>
      </w:r>
      <w:r w:rsidRPr="003A4599">
        <w:t xml:space="preserve">lan </w:t>
      </w:r>
    </w:p>
    <w:p w14:paraId="77692788" w14:textId="4C1DFC9C" w:rsidR="00331371" w:rsidRPr="003A4599" w:rsidRDefault="0000711C" w:rsidP="00B26236">
      <w:pPr>
        <w:pStyle w:val="BodyText"/>
        <w:numPr>
          <w:ilvl w:val="0"/>
          <w:numId w:val="2"/>
        </w:numPr>
        <w:ind w:right="4714"/>
      </w:pPr>
      <w:r w:rsidRPr="00B26236">
        <w:t>Digital Preservation Policy</w:t>
      </w:r>
    </w:p>
    <w:p w14:paraId="181E7B4E" w14:textId="77777777" w:rsidR="00331371" w:rsidRPr="003A4599" w:rsidRDefault="0000711C" w:rsidP="00B26236">
      <w:pPr>
        <w:pStyle w:val="BodyText"/>
        <w:numPr>
          <w:ilvl w:val="0"/>
          <w:numId w:val="2"/>
        </w:numPr>
      </w:pPr>
      <w:r w:rsidRPr="003A4599">
        <w:t>Emergency Preparedness Plan</w:t>
      </w:r>
    </w:p>
    <w:p w14:paraId="646D0C37" w14:textId="0E270F13" w:rsidR="00331371" w:rsidRDefault="00331371">
      <w:pPr>
        <w:pStyle w:val="BodyText"/>
        <w:rPr>
          <w:sz w:val="20"/>
        </w:rPr>
      </w:pPr>
    </w:p>
    <w:p w14:paraId="0B7A0F6B" w14:textId="77777777" w:rsidR="00C54BF1" w:rsidRPr="003A4599" w:rsidRDefault="00C54BF1">
      <w:pPr>
        <w:pStyle w:val="BodyText"/>
        <w:rPr>
          <w:sz w:val="20"/>
        </w:rPr>
      </w:pPr>
    </w:p>
    <w:p w14:paraId="467A929D" w14:textId="77777777" w:rsidR="00331371" w:rsidRPr="003A4599" w:rsidRDefault="00331371">
      <w:pPr>
        <w:pStyle w:val="BodyText"/>
        <w:rPr>
          <w:sz w:val="20"/>
        </w:rPr>
      </w:pPr>
    </w:p>
    <w:p w14:paraId="67577BCE" w14:textId="5534FB99" w:rsidR="00331371" w:rsidRDefault="00C54BF1" w:rsidP="00C54BF1">
      <w:pPr>
        <w:pStyle w:val="Heading1"/>
      </w:pPr>
      <w:bookmarkStart w:id="8" w:name="_Toc102634457"/>
      <w:r>
        <w:t>Review</w:t>
      </w:r>
      <w:bookmarkEnd w:id="8"/>
    </w:p>
    <w:p w14:paraId="6CA4ED0D" w14:textId="77777777" w:rsidR="00C54BF1" w:rsidRPr="003A4599" w:rsidRDefault="00C54BF1" w:rsidP="00C54BF1">
      <w:pPr>
        <w:pStyle w:val="Heading1"/>
        <w:spacing w:before="0"/>
      </w:pPr>
    </w:p>
    <w:p w14:paraId="223587D2" w14:textId="65F430F4" w:rsidR="00331371" w:rsidRPr="00C54BF1" w:rsidRDefault="0000711C" w:rsidP="3F58AE6C">
      <w:pPr>
        <w:spacing w:before="94" w:line="276" w:lineRule="auto"/>
        <w:ind w:left="820" w:right="179"/>
        <w:rPr>
          <w:sz w:val="24"/>
          <w:szCs w:val="24"/>
        </w:rPr>
      </w:pPr>
      <w:r w:rsidRPr="3F58AE6C">
        <w:rPr>
          <w:sz w:val="24"/>
          <w:szCs w:val="24"/>
        </w:rPr>
        <w:t>This policy was approved by Gwent Archives Joint Committee in</w:t>
      </w:r>
      <w:r w:rsidR="003A4599" w:rsidRPr="3F58AE6C">
        <w:rPr>
          <w:sz w:val="24"/>
          <w:szCs w:val="24"/>
        </w:rPr>
        <w:t xml:space="preserve"> </w:t>
      </w:r>
      <w:r w:rsidR="001A6EA9">
        <w:rPr>
          <w:sz w:val="24"/>
          <w:szCs w:val="24"/>
        </w:rPr>
        <w:t>June 2025</w:t>
      </w:r>
      <w:r w:rsidR="003A4599" w:rsidRPr="3F58AE6C">
        <w:rPr>
          <w:sz w:val="24"/>
          <w:szCs w:val="24"/>
        </w:rPr>
        <w:t xml:space="preserve">. </w:t>
      </w:r>
      <w:r w:rsidRPr="3F58AE6C">
        <w:rPr>
          <w:sz w:val="24"/>
          <w:szCs w:val="24"/>
        </w:rPr>
        <w:t xml:space="preserve"> It will be reviewed in</w:t>
      </w:r>
      <w:r w:rsidR="003A4599" w:rsidRPr="3F58AE6C">
        <w:rPr>
          <w:sz w:val="24"/>
          <w:szCs w:val="24"/>
        </w:rPr>
        <w:t xml:space="preserve"> </w:t>
      </w:r>
      <w:r w:rsidR="001A6EA9">
        <w:rPr>
          <w:sz w:val="24"/>
          <w:szCs w:val="24"/>
        </w:rPr>
        <w:t>June 2028</w:t>
      </w:r>
      <w:r w:rsidRPr="3F58AE6C">
        <w:rPr>
          <w:sz w:val="24"/>
          <w:szCs w:val="24"/>
        </w:rPr>
        <w:t xml:space="preserve"> or sooner if circumstances dictate.</w:t>
      </w:r>
    </w:p>
    <w:sectPr w:rsidR="00331371" w:rsidRPr="00C54BF1">
      <w:pgSz w:w="11910" w:h="16840"/>
      <w:pgMar w:top="1580" w:right="1320" w:bottom="1200" w:left="6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49DC" w14:textId="77777777" w:rsidR="003F3FB3" w:rsidRDefault="003F3FB3">
      <w:r>
        <w:separator/>
      </w:r>
    </w:p>
  </w:endnote>
  <w:endnote w:type="continuationSeparator" w:id="0">
    <w:p w14:paraId="3CECC7F0" w14:textId="77777777" w:rsidR="003F3FB3" w:rsidRDefault="003F3FB3">
      <w:r>
        <w:continuationSeparator/>
      </w:r>
    </w:p>
  </w:endnote>
  <w:endnote w:type="continuationNotice" w:id="1">
    <w:p w14:paraId="592A2423" w14:textId="77777777" w:rsidR="003F3FB3" w:rsidRDefault="003F3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404F" w14:textId="49971729" w:rsidR="00331371" w:rsidRDefault="0050151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CD66F6A" wp14:editId="65CB76BD">
              <wp:simplePos x="0" y="0"/>
              <wp:positionH relativeFrom="page">
                <wp:posOffset>3707130</wp:posOffset>
              </wp:positionH>
              <wp:positionV relativeFrom="page">
                <wp:posOffset>9916160</wp:posOffset>
              </wp:positionV>
              <wp:extent cx="147320" cy="165735"/>
              <wp:effectExtent l="0" t="0" r="0" b="0"/>
              <wp:wrapNone/>
              <wp:docPr id="9026834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F160" w14:textId="77777777" w:rsidR="00331371" w:rsidRPr="003A4599" w:rsidRDefault="0000711C">
                          <w:pPr>
                            <w:spacing w:line="245" w:lineRule="exact"/>
                            <w:ind w:left="60"/>
                          </w:pPr>
                          <w:r w:rsidRPr="003A4599">
                            <w:fldChar w:fldCharType="begin"/>
                          </w:r>
                          <w:r w:rsidRPr="003A4599">
                            <w:instrText xml:space="preserve"> PAGE </w:instrText>
                          </w:r>
                          <w:r w:rsidRPr="003A4599">
                            <w:fldChar w:fldCharType="separate"/>
                          </w:r>
                          <w:r w:rsidRPr="003A4599">
                            <w:t>2</w:t>
                          </w:r>
                          <w:r w:rsidRPr="003A459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66F6A" id="_x0000_t202" coordsize="21600,21600" o:spt="202" path="m,l,21600r21600,l21600,xe">
              <v:stroke joinstyle="miter"/>
              <v:path gradientshapeok="t" o:connecttype="rect"/>
            </v:shapetype>
            <v:shape id="Text Box 1" o:spid="_x0000_s1026" type="#_x0000_t202" style="position:absolute;margin-left:291.9pt;margin-top:780.8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" filled="f" stroked="f">
              <v:textbox inset="0,0,0,0">
                <w:txbxContent>
                  <w:p w14:paraId="397CF160" w14:textId="77777777" w:rsidR="00331371" w:rsidRPr="003A4599" w:rsidRDefault="0000711C">
                    <w:pPr>
                      <w:spacing w:line="245" w:lineRule="exact"/>
                      <w:ind w:left="60"/>
                    </w:pPr>
                    <w:r w:rsidRPr="003A4599">
                      <w:fldChar w:fldCharType="begin"/>
                    </w:r>
                    <w:r w:rsidRPr="003A4599">
                      <w:instrText xml:space="preserve"> PAGE </w:instrText>
                    </w:r>
                    <w:r w:rsidRPr="003A4599">
                      <w:fldChar w:fldCharType="separate"/>
                    </w:r>
                    <w:r w:rsidRPr="003A4599">
                      <w:t>2</w:t>
                    </w:r>
                    <w:r w:rsidRPr="003A459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A61F" w14:textId="77777777" w:rsidR="003F3FB3" w:rsidRDefault="003F3FB3">
      <w:r>
        <w:separator/>
      </w:r>
    </w:p>
  </w:footnote>
  <w:footnote w:type="continuationSeparator" w:id="0">
    <w:p w14:paraId="2694ABA7" w14:textId="77777777" w:rsidR="003F3FB3" w:rsidRDefault="003F3FB3">
      <w:r>
        <w:continuationSeparator/>
      </w:r>
    </w:p>
  </w:footnote>
  <w:footnote w:type="continuationNotice" w:id="1">
    <w:p w14:paraId="34B80277" w14:textId="77777777" w:rsidR="003F3FB3" w:rsidRDefault="003F3F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FE5"/>
    <w:multiLevelType w:val="hybridMultilevel"/>
    <w:tmpl w:val="DF0C779C"/>
    <w:lvl w:ilvl="0" w:tplc="2AFEA258">
      <w:numFmt w:val="bullet"/>
      <w:lvlText w:val=""/>
      <w:lvlJc w:val="left"/>
      <w:pPr>
        <w:ind w:left="1540" w:hanging="360"/>
      </w:pPr>
      <w:rPr>
        <w:rFonts w:ascii="Symbol" w:eastAsia="Symbol" w:hAnsi="Symbol" w:cs="Symbol" w:hint="default"/>
        <w:w w:val="100"/>
        <w:sz w:val="24"/>
        <w:szCs w:val="24"/>
        <w:lang w:val="en-US" w:eastAsia="en-US" w:bidi="ar-SA"/>
      </w:rPr>
    </w:lvl>
    <w:lvl w:ilvl="1" w:tplc="860AC034">
      <w:numFmt w:val="bullet"/>
      <w:lvlText w:val=""/>
      <w:lvlJc w:val="left"/>
      <w:pPr>
        <w:ind w:left="2260" w:hanging="360"/>
      </w:pPr>
      <w:rPr>
        <w:rFonts w:ascii="Symbol" w:eastAsia="Symbol" w:hAnsi="Symbol" w:cs="Symbol" w:hint="default"/>
        <w:w w:val="100"/>
        <w:sz w:val="24"/>
        <w:szCs w:val="24"/>
        <w:lang w:val="en-US" w:eastAsia="en-US" w:bidi="ar-SA"/>
      </w:rPr>
    </w:lvl>
    <w:lvl w:ilvl="2" w:tplc="0F2415CC">
      <w:numFmt w:val="bullet"/>
      <w:lvlText w:val="•"/>
      <w:lvlJc w:val="left"/>
      <w:pPr>
        <w:ind w:left="3116" w:hanging="360"/>
      </w:pPr>
      <w:rPr>
        <w:rFonts w:hint="default"/>
        <w:lang w:val="en-US" w:eastAsia="en-US" w:bidi="ar-SA"/>
      </w:rPr>
    </w:lvl>
    <w:lvl w:ilvl="3" w:tplc="9432AC14">
      <w:numFmt w:val="bullet"/>
      <w:lvlText w:val="•"/>
      <w:lvlJc w:val="left"/>
      <w:pPr>
        <w:ind w:left="3972" w:hanging="360"/>
      </w:pPr>
      <w:rPr>
        <w:rFonts w:hint="default"/>
        <w:lang w:val="en-US" w:eastAsia="en-US" w:bidi="ar-SA"/>
      </w:rPr>
    </w:lvl>
    <w:lvl w:ilvl="4" w:tplc="FFB0B988">
      <w:numFmt w:val="bullet"/>
      <w:lvlText w:val="•"/>
      <w:lvlJc w:val="left"/>
      <w:pPr>
        <w:ind w:left="4828" w:hanging="360"/>
      </w:pPr>
      <w:rPr>
        <w:rFonts w:hint="default"/>
        <w:lang w:val="en-US" w:eastAsia="en-US" w:bidi="ar-SA"/>
      </w:rPr>
    </w:lvl>
    <w:lvl w:ilvl="5" w:tplc="358CCC7A">
      <w:numFmt w:val="bullet"/>
      <w:lvlText w:val="•"/>
      <w:lvlJc w:val="left"/>
      <w:pPr>
        <w:ind w:left="5685" w:hanging="360"/>
      </w:pPr>
      <w:rPr>
        <w:rFonts w:hint="default"/>
        <w:lang w:val="en-US" w:eastAsia="en-US" w:bidi="ar-SA"/>
      </w:rPr>
    </w:lvl>
    <w:lvl w:ilvl="6" w:tplc="EC786190">
      <w:numFmt w:val="bullet"/>
      <w:lvlText w:val="•"/>
      <w:lvlJc w:val="left"/>
      <w:pPr>
        <w:ind w:left="6541" w:hanging="360"/>
      </w:pPr>
      <w:rPr>
        <w:rFonts w:hint="default"/>
        <w:lang w:val="en-US" w:eastAsia="en-US" w:bidi="ar-SA"/>
      </w:rPr>
    </w:lvl>
    <w:lvl w:ilvl="7" w:tplc="48E4C4A2">
      <w:numFmt w:val="bullet"/>
      <w:lvlText w:val="•"/>
      <w:lvlJc w:val="left"/>
      <w:pPr>
        <w:ind w:left="7397" w:hanging="360"/>
      </w:pPr>
      <w:rPr>
        <w:rFonts w:hint="default"/>
        <w:lang w:val="en-US" w:eastAsia="en-US" w:bidi="ar-SA"/>
      </w:rPr>
    </w:lvl>
    <w:lvl w:ilvl="8" w:tplc="339AE3A8">
      <w:numFmt w:val="bullet"/>
      <w:lvlText w:val="•"/>
      <w:lvlJc w:val="left"/>
      <w:pPr>
        <w:ind w:left="8253" w:hanging="360"/>
      </w:pPr>
      <w:rPr>
        <w:rFonts w:hint="default"/>
        <w:lang w:val="en-US" w:eastAsia="en-US" w:bidi="ar-SA"/>
      </w:rPr>
    </w:lvl>
  </w:abstractNum>
  <w:abstractNum w:abstractNumId="1" w15:restartNumberingAfterBreak="0">
    <w:nsid w:val="431238FB"/>
    <w:multiLevelType w:val="hybridMultilevel"/>
    <w:tmpl w:val="5F8AB3D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num w:numId="1" w16cid:durableId="132253839">
    <w:abstractNumId w:val="0"/>
  </w:num>
  <w:num w:numId="2" w16cid:durableId="111274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71"/>
    <w:rsid w:val="0000711C"/>
    <w:rsid w:val="000F113A"/>
    <w:rsid w:val="000F7A16"/>
    <w:rsid w:val="0013241E"/>
    <w:rsid w:val="001A6EA9"/>
    <w:rsid w:val="001A7937"/>
    <w:rsid w:val="001A7990"/>
    <w:rsid w:val="001D77E9"/>
    <w:rsid w:val="00225687"/>
    <w:rsid w:val="0025300C"/>
    <w:rsid w:val="0030486D"/>
    <w:rsid w:val="00331371"/>
    <w:rsid w:val="00345D97"/>
    <w:rsid w:val="00363D49"/>
    <w:rsid w:val="00364276"/>
    <w:rsid w:val="003A4599"/>
    <w:rsid w:val="003F3FB3"/>
    <w:rsid w:val="004238A2"/>
    <w:rsid w:val="004E02CF"/>
    <w:rsid w:val="0050151C"/>
    <w:rsid w:val="00503AFB"/>
    <w:rsid w:val="00517E4F"/>
    <w:rsid w:val="005407A5"/>
    <w:rsid w:val="00562511"/>
    <w:rsid w:val="00563812"/>
    <w:rsid w:val="00566BC1"/>
    <w:rsid w:val="005838CD"/>
    <w:rsid w:val="00606630"/>
    <w:rsid w:val="006A75F1"/>
    <w:rsid w:val="006E27A2"/>
    <w:rsid w:val="00754812"/>
    <w:rsid w:val="007621CD"/>
    <w:rsid w:val="00762C00"/>
    <w:rsid w:val="00764301"/>
    <w:rsid w:val="007A3DEB"/>
    <w:rsid w:val="007D31D6"/>
    <w:rsid w:val="00823818"/>
    <w:rsid w:val="00831992"/>
    <w:rsid w:val="00923DD2"/>
    <w:rsid w:val="00947938"/>
    <w:rsid w:val="009835BF"/>
    <w:rsid w:val="009C5D9A"/>
    <w:rsid w:val="009E6283"/>
    <w:rsid w:val="009F59F6"/>
    <w:rsid w:val="00A06D3B"/>
    <w:rsid w:val="00A13F83"/>
    <w:rsid w:val="00A84ACE"/>
    <w:rsid w:val="00AA35D5"/>
    <w:rsid w:val="00AB41BD"/>
    <w:rsid w:val="00AC49AB"/>
    <w:rsid w:val="00B15912"/>
    <w:rsid w:val="00B26236"/>
    <w:rsid w:val="00B3488D"/>
    <w:rsid w:val="00B403CA"/>
    <w:rsid w:val="00B81670"/>
    <w:rsid w:val="00C016F2"/>
    <w:rsid w:val="00C06600"/>
    <w:rsid w:val="00C154E9"/>
    <w:rsid w:val="00C338E3"/>
    <w:rsid w:val="00C430DB"/>
    <w:rsid w:val="00C54BF1"/>
    <w:rsid w:val="00C90536"/>
    <w:rsid w:val="00C973CE"/>
    <w:rsid w:val="00C97788"/>
    <w:rsid w:val="00CA6A3E"/>
    <w:rsid w:val="00CC064C"/>
    <w:rsid w:val="00D158F9"/>
    <w:rsid w:val="00D24BE6"/>
    <w:rsid w:val="00D840DD"/>
    <w:rsid w:val="00D95820"/>
    <w:rsid w:val="00DA0809"/>
    <w:rsid w:val="00DB119C"/>
    <w:rsid w:val="00DB42A5"/>
    <w:rsid w:val="00DC737B"/>
    <w:rsid w:val="00DE57A6"/>
    <w:rsid w:val="00DF4365"/>
    <w:rsid w:val="00E01951"/>
    <w:rsid w:val="00E24911"/>
    <w:rsid w:val="00E609BB"/>
    <w:rsid w:val="00E7117B"/>
    <w:rsid w:val="00E81204"/>
    <w:rsid w:val="00EE1839"/>
    <w:rsid w:val="00F069EC"/>
    <w:rsid w:val="00F543D6"/>
    <w:rsid w:val="00FB6ACE"/>
    <w:rsid w:val="00FC079F"/>
    <w:rsid w:val="00FC742E"/>
    <w:rsid w:val="09D68C09"/>
    <w:rsid w:val="280506EA"/>
    <w:rsid w:val="35D972C5"/>
    <w:rsid w:val="3CC981B5"/>
    <w:rsid w:val="3F58AE6C"/>
    <w:rsid w:val="6EF7B320"/>
    <w:rsid w:val="7AAED0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21C2"/>
  <w15:docId w15:val="{558FB78A-5273-4707-886D-F404095B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8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820"/>
    </w:pPr>
    <w:rPr>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913" w:right="2214"/>
      <w:jc w:val="center"/>
    </w:pPr>
    <w:rPr>
      <w:b/>
      <w:bCs/>
      <w:sz w:val="32"/>
      <w:szCs w:val="3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599"/>
    <w:pPr>
      <w:tabs>
        <w:tab w:val="center" w:pos="4513"/>
        <w:tab w:val="right" w:pos="9026"/>
      </w:tabs>
    </w:pPr>
  </w:style>
  <w:style w:type="character" w:customStyle="1" w:styleId="HeaderChar">
    <w:name w:val="Header Char"/>
    <w:basedOn w:val="DefaultParagraphFont"/>
    <w:link w:val="Header"/>
    <w:uiPriority w:val="99"/>
    <w:rsid w:val="003A4599"/>
    <w:rPr>
      <w:rFonts w:ascii="Arial" w:eastAsia="Arial" w:hAnsi="Arial" w:cs="Arial"/>
    </w:rPr>
  </w:style>
  <w:style w:type="paragraph" w:styleId="Footer">
    <w:name w:val="footer"/>
    <w:basedOn w:val="Normal"/>
    <w:link w:val="FooterChar"/>
    <w:uiPriority w:val="99"/>
    <w:unhideWhenUsed/>
    <w:rsid w:val="003A4599"/>
    <w:pPr>
      <w:tabs>
        <w:tab w:val="center" w:pos="4513"/>
        <w:tab w:val="right" w:pos="9026"/>
      </w:tabs>
    </w:pPr>
  </w:style>
  <w:style w:type="character" w:customStyle="1" w:styleId="FooterChar">
    <w:name w:val="Footer Char"/>
    <w:basedOn w:val="DefaultParagraphFont"/>
    <w:link w:val="Footer"/>
    <w:uiPriority w:val="99"/>
    <w:rsid w:val="003A4599"/>
    <w:rPr>
      <w:rFonts w:ascii="Arial" w:eastAsia="Arial" w:hAnsi="Arial" w:cs="Arial"/>
    </w:rPr>
  </w:style>
  <w:style w:type="character" w:styleId="Hyperlink">
    <w:name w:val="Hyperlink"/>
    <w:basedOn w:val="DefaultParagraphFont"/>
    <w:uiPriority w:val="99"/>
    <w:unhideWhenUsed/>
    <w:rsid w:val="00C54BF1"/>
    <w:rPr>
      <w:color w:val="0000FF" w:themeColor="hyperlink"/>
      <w:u w:val="single"/>
    </w:rPr>
  </w:style>
  <w:style w:type="character" w:styleId="UnresolvedMention">
    <w:name w:val="Unresolved Mention"/>
    <w:basedOn w:val="DefaultParagraphFont"/>
    <w:uiPriority w:val="99"/>
    <w:semiHidden/>
    <w:unhideWhenUsed/>
    <w:rsid w:val="00C54BF1"/>
    <w:rPr>
      <w:color w:val="605E5C"/>
      <w:shd w:val="clear" w:color="auto" w:fill="E1DFDD"/>
    </w:rPr>
  </w:style>
  <w:style w:type="paragraph" w:styleId="Revision">
    <w:name w:val="Revision"/>
    <w:hidden/>
    <w:uiPriority w:val="99"/>
    <w:semiHidden/>
    <w:rsid w:val="0050151C"/>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831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wentarchives.gov.uk/en/about-us/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tatic1.squarespace.com/static/60773266d31a1f2f300e02ef/t/61b855baf9e15d5909a1060a/1639470522963/access_standard_2008.pdf" TargetMode="External"/><Relationship Id="rId2" Type="http://schemas.openxmlformats.org/officeDocument/2006/relationships/customXml" Target="../customXml/item2.xml"/><Relationship Id="rId16" Type="http://schemas.openxmlformats.org/officeDocument/2006/relationships/hyperlink" Target="https://www.archives.org.uk/ara-code-of-eth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chiveshub.jisc.ac.uk/ncaru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org/resource/isaar-cpf-international-standard-archival-authority-record-for-corporate-bodies-persons-and-families-2nd-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2.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5d2c57-1183-427d-a604-2e0ffdafb2d4" ContentTypeId="0x010100F62BDD624346DE44BD667E2A6833A2F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45125-2C1E-4495-8A4A-139682BE1581}">
  <ds:schemaRefs>
    <ds:schemaRef ds:uri="http://schemas.microsoft.com/office/2006/metadata/properties"/>
    <ds:schemaRef ds:uri="http://schemas.microsoft.com/office/infopath/2007/PartnerControls"/>
    <ds:schemaRef ds:uri="c40dd51c-0b93-41a3-8ce1-c0167702c6fe"/>
  </ds:schemaRefs>
</ds:datastoreItem>
</file>

<file path=customXml/itemProps2.xml><?xml version="1.0" encoding="utf-8"?>
<ds:datastoreItem xmlns:ds="http://schemas.openxmlformats.org/officeDocument/2006/customXml" ds:itemID="{48FEB23B-8D19-48F3-86F4-62E53FF8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6966E-7C1F-4C41-9317-54C360685AD9}">
  <ds:schemaRefs>
    <ds:schemaRef ds:uri="Microsoft.SharePoint.Taxonomy.ContentTypeSync"/>
  </ds:schemaRefs>
</ds:datastoreItem>
</file>

<file path=customXml/itemProps4.xml><?xml version="1.0" encoding="utf-8"?>
<ds:datastoreItem xmlns:ds="http://schemas.openxmlformats.org/officeDocument/2006/customXml" ds:itemID="{D819F216-1EA7-4447-9666-6796D2239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Links>
    <vt:vector size="90" baseType="variant">
      <vt:variant>
        <vt:i4>4390996</vt:i4>
      </vt:variant>
      <vt:variant>
        <vt:i4>72</vt:i4>
      </vt:variant>
      <vt:variant>
        <vt:i4>0</vt:i4>
      </vt:variant>
      <vt:variant>
        <vt:i4>5</vt:i4>
      </vt:variant>
      <vt:variant>
        <vt:lpwstr>https://www.gwentarchives.gov.uk/en/about-us/policies-and-governance/</vt:lpwstr>
      </vt:variant>
      <vt:variant>
        <vt:lpwstr/>
      </vt:variant>
      <vt:variant>
        <vt:i4>2293881</vt:i4>
      </vt:variant>
      <vt:variant>
        <vt:i4>69</vt:i4>
      </vt:variant>
      <vt:variant>
        <vt:i4>0</vt:i4>
      </vt:variant>
      <vt:variant>
        <vt:i4>5</vt:i4>
      </vt:variant>
      <vt:variant>
        <vt:lpwstr>https://static1.squarespace.com/static/60773266d31a1f2f300e02ef/t/61b855baf9e15d5909a1060a/1639470522963/access_standard_2008.pdf</vt:lpwstr>
      </vt:variant>
      <vt:variant>
        <vt:lpwstr/>
      </vt:variant>
      <vt:variant>
        <vt:i4>8126581</vt:i4>
      </vt:variant>
      <vt:variant>
        <vt:i4>66</vt:i4>
      </vt:variant>
      <vt:variant>
        <vt:i4>0</vt:i4>
      </vt:variant>
      <vt:variant>
        <vt:i4>5</vt:i4>
      </vt:variant>
      <vt:variant>
        <vt:lpwstr>https://www.archives.org.uk/ara-code-of-ethics</vt:lpwstr>
      </vt:variant>
      <vt:variant>
        <vt:lpwstr/>
      </vt:variant>
      <vt:variant>
        <vt:i4>4915268</vt:i4>
      </vt:variant>
      <vt:variant>
        <vt:i4>63</vt:i4>
      </vt:variant>
      <vt:variant>
        <vt:i4>0</vt:i4>
      </vt:variant>
      <vt:variant>
        <vt:i4>5</vt:i4>
      </vt:variant>
      <vt:variant>
        <vt:lpwstr>https://archiveshub.jisc.ac.uk/ncarules/</vt:lpwstr>
      </vt:variant>
      <vt:variant>
        <vt:lpwstr/>
      </vt:variant>
      <vt:variant>
        <vt:i4>7733297</vt:i4>
      </vt:variant>
      <vt:variant>
        <vt:i4>60</vt:i4>
      </vt:variant>
      <vt:variant>
        <vt:i4>0</vt:i4>
      </vt:variant>
      <vt:variant>
        <vt:i4>5</vt:i4>
      </vt:variant>
      <vt:variant>
        <vt:lpwstr>https://www.ica.org/resource/isaar-cpf-international-standard-archival-authority-record-for-corporate-bodies-persons-and-families-2nd-edition/</vt:lpwstr>
      </vt:variant>
      <vt:variant>
        <vt:lpwstr/>
      </vt:variant>
      <vt:variant>
        <vt:i4>6291512</vt:i4>
      </vt:variant>
      <vt:variant>
        <vt:i4>57</vt:i4>
      </vt:variant>
      <vt:variant>
        <vt:i4>0</vt:i4>
      </vt:variant>
      <vt:variant>
        <vt:i4>5</vt:i4>
      </vt:variant>
      <vt:variant>
        <vt:lpwstr>https://www.ica.org/resource/isadg-general-international-standard-archival-description-second-edition/</vt:lpwstr>
      </vt:variant>
      <vt:variant>
        <vt:lpwstr/>
      </vt:variant>
      <vt:variant>
        <vt:i4>1048628</vt:i4>
      </vt:variant>
      <vt:variant>
        <vt:i4>50</vt:i4>
      </vt:variant>
      <vt:variant>
        <vt:i4>0</vt:i4>
      </vt:variant>
      <vt:variant>
        <vt:i4>5</vt:i4>
      </vt:variant>
      <vt:variant>
        <vt:lpwstr/>
      </vt:variant>
      <vt:variant>
        <vt:lpwstr>_Toc102634457</vt:lpwstr>
      </vt:variant>
      <vt:variant>
        <vt:i4>1048628</vt:i4>
      </vt:variant>
      <vt:variant>
        <vt:i4>44</vt:i4>
      </vt:variant>
      <vt:variant>
        <vt:i4>0</vt:i4>
      </vt:variant>
      <vt:variant>
        <vt:i4>5</vt:i4>
      </vt:variant>
      <vt:variant>
        <vt:lpwstr/>
      </vt:variant>
      <vt:variant>
        <vt:lpwstr>_Toc102634456</vt:lpwstr>
      </vt:variant>
      <vt:variant>
        <vt:i4>1048628</vt:i4>
      </vt:variant>
      <vt:variant>
        <vt:i4>38</vt:i4>
      </vt:variant>
      <vt:variant>
        <vt:i4>0</vt:i4>
      </vt:variant>
      <vt:variant>
        <vt:i4>5</vt:i4>
      </vt:variant>
      <vt:variant>
        <vt:lpwstr/>
      </vt:variant>
      <vt:variant>
        <vt:lpwstr>_Toc102634455</vt:lpwstr>
      </vt:variant>
      <vt:variant>
        <vt:i4>1048628</vt:i4>
      </vt:variant>
      <vt:variant>
        <vt:i4>32</vt:i4>
      </vt:variant>
      <vt:variant>
        <vt:i4>0</vt:i4>
      </vt:variant>
      <vt:variant>
        <vt:i4>5</vt:i4>
      </vt:variant>
      <vt:variant>
        <vt:lpwstr/>
      </vt:variant>
      <vt:variant>
        <vt:lpwstr>_Toc102634454</vt:lpwstr>
      </vt:variant>
      <vt:variant>
        <vt:i4>1048628</vt:i4>
      </vt:variant>
      <vt:variant>
        <vt:i4>26</vt:i4>
      </vt:variant>
      <vt:variant>
        <vt:i4>0</vt:i4>
      </vt:variant>
      <vt:variant>
        <vt:i4>5</vt:i4>
      </vt:variant>
      <vt:variant>
        <vt:lpwstr/>
      </vt:variant>
      <vt:variant>
        <vt:lpwstr>_Toc102634453</vt:lpwstr>
      </vt:variant>
      <vt:variant>
        <vt:i4>1048628</vt:i4>
      </vt:variant>
      <vt:variant>
        <vt:i4>20</vt:i4>
      </vt:variant>
      <vt:variant>
        <vt:i4>0</vt:i4>
      </vt:variant>
      <vt:variant>
        <vt:i4>5</vt:i4>
      </vt:variant>
      <vt:variant>
        <vt:lpwstr/>
      </vt:variant>
      <vt:variant>
        <vt:lpwstr>_Toc102634452</vt:lpwstr>
      </vt:variant>
      <vt:variant>
        <vt:i4>1048628</vt:i4>
      </vt:variant>
      <vt:variant>
        <vt:i4>14</vt:i4>
      </vt:variant>
      <vt:variant>
        <vt:i4>0</vt:i4>
      </vt:variant>
      <vt:variant>
        <vt:i4>5</vt:i4>
      </vt:variant>
      <vt:variant>
        <vt:lpwstr/>
      </vt:variant>
      <vt:variant>
        <vt:lpwstr>_Toc102634451</vt:lpwstr>
      </vt:variant>
      <vt:variant>
        <vt:i4>1048628</vt:i4>
      </vt:variant>
      <vt:variant>
        <vt:i4>8</vt:i4>
      </vt:variant>
      <vt:variant>
        <vt:i4>0</vt:i4>
      </vt:variant>
      <vt:variant>
        <vt:i4>5</vt:i4>
      </vt:variant>
      <vt:variant>
        <vt:lpwstr/>
      </vt:variant>
      <vt:variant>
        <vt:lpwstr>_Toc102634450</vt:lpwstr>
      </vt:variant>
      <vt:variant>
        <vt:i4>1114164</vt:i4>
      </vt:variant>
      <vt:variant>
        <vt:i4>2</vt:i4>
      </vt:variant>
      <vt:variant>
        <vt:i4>0</vt:i4>
      </vt:variant>
      <vt:variant>
        <vt:i4>5</vt:i4>
      </vt:variant>
      <vt:variant>
        <vt:lpwstr/>
      </vt:variant>
      <vt:variant>
        <vt:lpwstr>_Toc102634449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Michael</dc:creator>
  <cp:keywords/>
  <cp:lastModifiedBy>Whitehead, Neta</cp:lastModifiedBy>
  <cp:revision>2</cp:revision>
  <cp:lastPrinted>2022-05-10T17:12:00Z</cp:lastPrinted>
  <dcterms:created xsi:type="dcterms:W3CDTF">2025-06-23T08:54:00Z</dcterms:created>
  <dcterms:modified xsi:type="dcterms:W3CDTF">2025-06-23T08:54:00Z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ContentTypeId">
    <vt:lpwstr>0x010100F62BDD624346DE44BD667E2A6833A2F3007EEEB4D46083384790AB52459BD6D777</vt:lpwstr>
  </property>
</Properties>
</file>