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16FBF" w14:textId="77777777" w:rsidR="007C3F07" w:rsidRDefault="0017651A" w:rsidP="00D56B24">
      <w:pPr>
        <w:ind w:left="-14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559AFD15" w14:textId="3E58DFDB" w:rsidR="00062374" w:rsidRPr="007C3F07" w:rsidRDefault="007C3F07" w:rsidP="55946B79">
      <w:pPr>
        <w:ind w:left="-142"/>
        <w:jc w:val="center"/>
        <w:rPr>
          <w:rFonts w:ascii="Arial" w:hAnsi="Arial" w:cs="Arial"/>
          <w:b/>
          <w:bCs/>
          <w:sz w:val="32"/>
          <w:szCs w:val="32"/>
        </w:rPr>
      </w:pPr>
      <w:r w:rsidRPr="55946B79">
        <w:rPr>
          <w:rFonts w:ascii="Arial" w:hAnsi="Arial" w:cs="Arial"/>
          <w:b/>
          <w:bCs/>
          <w:sz w:val="32"/>
          <w:szCs w:val="32"/>
        </w:rPr>
        <w:t>Appraisal Policy</w:t>
      </w:r>
    </w:p>
    <w:p w14:paraId="2B01849D" w14:textId="77777777" w:rsidR="007C3F07" w:rsidRDefault="007C3F07" w:rsidP="007E0731">
      <w:pPr>
        <w:rPr>
          <w:rFonts w:ascii="Arial" w:hAnsi="Arial" w:cs="Arial"/>
          <w:b/>
          <w:sz w:val="28"/>
          <w:szCs w:val="28"/>
        </w:rPr>
      </w:pPr>
    </w:p>
    <w:sdt>
      <w:sdtPr>
        <w:rPr>
          <w:rFonts w:ascii="Times New Roman" w:eastAsia="Times New Roman" w:hAnsi="Times New Roman" w:cs="Times New Roman"/>
          <w:color w:val="auto"/>
          <w:sz w:val="24"/>
          <w:szCs w:val="24"/>
          <w:lang w:val="en-GB" w:eastAsia="en-GB"/>
        </w:rPr>
        <w:id w:val="600119211"/>
        <w:docPartObj>
          <w:docPartGallery w:val="Table of Contents"/>
          <w:docPartUnique/>
        </w:docPartObj>
      </w:sdtPr>
      <w:sdtEndPr/>
      <w:sdtContent>
        <w:p w14:paraId="6F5F802B" w14:textId="79D10FCB" w:rsidR="009E50C1" w:rsidRDefault="009E50C1" w:rsidP="007E0731">
          <w:pPr>
            <w:pStyle w:val="TOCHeading"/>
          </w:pPr>
        </w:p>
        <w:p w14:paraId="4029A327" w14:textId="61325AE2" w:rsidR="00DE22FB" w:rsidRPr="00DE22FB" w:rsidRDefault="003237D4">
          <w:pPr>
            <w:pStyle w:val="TOC1"/>
            <w:tabs>
              <w:tab w:val="right" w:leader="dot" w:pos="9016"/>
            </w:tabs>
            <w:rPr>
              <w:rFonts w:ascii="Arial" w:eastAsiaTheme="minorEastAsia" w:hAnsi="Arial" w:cs="Arial"/>
              <w:noProof/>
              <w:sz w:val="22"/>
              <w:szCs w:val="22"/>
            </w:rPr>
          </w:pPr>
          <w:r>
            <w:fldChar w:fldCharType="begin"/>
          </w:r>
          <w:r w:rsidR="009E50C1">
            <w:instrText>TOC \o "1-3" \h \z \u</w:instrText>
          </w:r>
          <w:r>
            <w:fldChar w:fldCharType="separate"/>
          </w:r>
          <w:hyperlink w:anchor="_Toc102632597" w:history="1">
            <w:r w:rsidR="00DE22FB" w:rsidRPr="00DE22FB">
              <w:rPr>
                <w:rStyle w:val="Hyperlink"/>
                <w:rFonts w:ascii="Arial" w:eastAsiaTheme="majorEastAsia" w:hAnsi="Arial" w:cs="Arial"/>
                <w:noProof/>
                <w:sz w:val="22"/>
                <w:szCs w:val="22"/>
              </w:rPr>
              <w:t>Introduction</w:t>
            </w:r>
            <w:r w:rsidR="00DE22FB" w:rsidRPr="00DE22FB">
              <w:rPr>
                <w:rFonts w:ascii="Arial" w:hAnsi="Arial" w:cs="Arial"/>
                <w:noProof/>
                <w:webHidden/>
                <w:sz w:val="22"/>
                <w:szCs w:val="22"/>
              </w:rPr>
              <w:tab/>
            </w:r>
            <w:r w:rsidR="00DE22FB" w:rsidRPr="00DE22FB">
              <w:rPr>
                <w:rFonts w:ascii="Arial" w:hAnsi="Arial" w:cs="Arial"/>
                <w:noProof/>
                <w:webHidden/>
                <w:sz w:val="22"/>
                <w:szCs w:val="22"/>
              </w:rPr>
              <w:fldChar w:fldCharType="begin"/>
            </w:r>
            <w:r w:rsidR="00DE22FB" w:rsidRPr="00DE22FB">
              <w:rPr>
                <w:rFonts w:ascii="Arial" w:hAnsi="Arial" w:cs="Arial"/>
                <w:noProof/>
                <w:webHidden/>
                <w:sz w:val="22"/>
                <w:szCs w:val="22"/>
              </w:rPr>
              <w:instrText xml:space="preserve"> PAGEREF _Toc102632597 \h </w:instrText>
            </w:r>
            <w:r w:rsidR="00DE22FB" w:rsidRPr="00DE22FB">
              <w:rPr>
                <w:rFonts w:ascii="Arial" w:hAnsi="Arial" w:cs="Arial"/>
                <w:noProof/>
                <w:webHidden/>
                <w:sz w:val="22"/>
                <w:szCs w:val="22"/>
              </w:rPr>
            </w:r>
            <w:r w:rsidR="00DE22FB" w:rsidRPr="00DE22FB">
              <w:rPr>
                <w:rFonts w:ascii="Arial" w:hAnsi="Arial" w:cs="Arial"/>
                <w:noProof/>
                <w:webHidden/>
                <w:sz w:val="22"/>
                <w:szCs w:val="22"/>
              </w:rPr>
              <w:fldChar w:fldCharType="separate"/>
            </w:r>
            <w:r w:rsidR="009571AC">
              <w:rPr>
                <w:rFonts w:ascii="Arial" w:hAnsi="Arial" w:cs="Arial"/>
                <w:noProof/>
                <w:webHidden/>
                <w:sz w:val="22"/>
                <w:szCs w:val="22"/>
              </w:rPr>
              <w:t>1</w:t>
            </w:r>
            <w:r w:rsidR="00DE22FB" w:rsidRPr="00DE22FB">
              <w:rPr>
                <w:rFonts w:ascii="Arial" w:hAnsi="Arial" w:cs="Arial"/>
                <w:noProof/>
                <w:webHidden/>
                <w:sz w:val="22"/>
                <w:szCs w:val="22"/>
              </w:rPr>
              <w:fldChar w:fldCharType="end"/>
            </w:r>
          </w:hyperlink>
        </w:p>
        <w:p w14:paraId="1864E21E" w14:textId="693758E1" w:rsidR="00DE22FB" w:rsidRPr="00DE22FB" w:rsidRDefault="00DE22FB">
          <w:pPr>
            <w:pStyle w:val="TOC1"/>
            <w:tabs>
              <w:tab w:val="right" w:leader="dot" w:pos="9016"/>
            </w:tabs>
            <w:rPr>
              <w:rFonts w:ascii="Arial" w:eastAsiaTheme="minorEastAsia" w:hAnsi="Arial" w:cs="Arial"/>
              <w:noProof/>
              <w:sz w:val="22"/>
              <w:szCs w:val="22"/>
            </w:rPr>
          </w:pPr>
          <w:hyperlink w:anchor="_Toc102632598" w:history="1">
            <w:r w:rsidRPr="00DE22FB">
              <w:rPr>
                <w:rStyle w:val="Hyperlink"/>
                <w:rFonts w:ascii="Arial" w:eastAsiaTheme="majorEastAsia" w:hAnsi="Arial" w:cs="Arial"/>
                <w:noProof/>
                <w:sz w:val="22"/>
                <w:szCs w:val="22"/>
              </w:rPr>
              <w:t>Scope</w:t>
            </w:r>
            <w:r w:rsidRPr="00DE22FB">
              <w:rPr>
                <w:rFonts w:ascii="Arial" w:hAnsi="Arial" w:cs="Arial"/>
                <w:noProof/>
                <w:webHidden/>
                <w:sz w:val="22"/>
                <w:szCs w:val="22"/>
              </w:rPr>
              <w:tab/>
            </w:r>
            <w:r w:rsidRPr="00DE22FB">
              <w:rPr>
                <w:rFonts w:ascii="Arial" w:hAnsi="Arial" w:cs="Arial"/>
                <w:noProof/>
                <w:webHidden/>
                <w:sz w:val="22"/>
                <w:szCs w:val="22"/>
              </w:rPr>
              <w:fldChar w:fldCharType="begin"/>
            </w:r>
            <w:r w:rsidRPr="00DE22FB">
              <w:rPr>
                <w:rFonts w:ascii="Arial" w:hAnsi="Arial" w:cs="Arial"/>
                <w:noProof/>
                <w:webHidden/>
                <w:sz w:val="22"/>
                <w:szCs w:val="22"/>
              </w:rPr>
              <w:instrText xml:space="preserve"> PAGEREF _Toc102632598 \h </w:instrText>
            </w:r>
            <w:r w:rsidRPr="00DE22FB">
              <w:rPr>
                <w:rFonts w:ascii="Arial" w:hAnsi="Arial" w:cs="Arial"/>
                <w:noProof/>
                <w:webHidden/>
                <w:sz w:val="22"/>
                <w:szCs w:val="22"/>
              </w:rPr>
            </w:r>
            <w:r w:rsidRPr="00DE22FB">
              <w:rPr>
                <w:rFonts w:ascii="Arial" w:hAnsi="Arial" w:cs="Arial"/>
                <w:noProof/>
                <w:webHidden/>
                <w:sz w:val="22"/>
                <w:szCs w:val="22"/>
              </w:rPr>
              <w:fldChar w:fldCharType="separate"/>
            </w:r>
            <w:r w:rsidR="009571AC">
              <w:rPr>
                <w:rFonts w:ascii="Arial" w:hAnsi="Arial" w:cs="Arial"/>
                <w:noProof/>
                <w:webHidden/>
                <w:sz w:val="22"/>
                <w:szCs w:val="22"/>
              </w:rPr>
              <w:t>1</w:t>
            </w:r>
            <w:r w:rsidRPr="00DE22FB">
              <w:rPr>
                <w:rFonts w:ascii="Arial" w:hAnsi="Arial" w:cs="Arial"/>
                <w:noProof/>
                <w:webHidden/>
                <w:sz w:val="22"/>
                <w:szCs w:val="22"/>
              </w:rPr>
              <w:fldChar w:fldCharType="end"/>
            </w:r>
          </w:hyperlink>
        </w:p>
        <w:p w14:paraId="71434F4B" w14:textId="068992B9" w:rsidR="00DE22FB" w:rsidRPr="00DE22FB" w:rsidRDefault="00DE22FB">
          <w:pPr>
            <w:pStyle w:val="TOC1"/>
            <w:tabs>
              <w:tab w:val="right" w:leader="dot" w:pos="9016"/>
            </w:tabs>
            <w:rPr>
              <w:rFonts w:ascii="Arial" w:eastAsiaTheme="minorEastAsia" w:hAnsi="Arial" w:cs="Arial"/>
              <w:noProof/>
              <w:sz w:val="22"/>
              <w:szCs w:val="22"/>
            </w:rPr>
          </w:pPr>
          <w:hyperlink w:anchor="_Toc102632599" w:history="1">
            <w:r w:rsidRPr="00DE22FB">
              <w:rPr>
                <w:rStyle w:val="Hyperlink"/>
                <w:rFonts w:ascii="Arial" w:eastAsiaTheme="majorEastAsia" w:hAnsi="Arial" w:cs="Arial"/>
                <w:noProof/>
                <w:sz w:val="22"/>
                <w:szCs w:val="22"/>
              </w:rPr>
              <w:t>Records of our Authorities</w:t>
            </w:r>
            <w:r w:rsidRPr="00DE22FB">
              <w:rPr>
                <w:rFonts w:ascii="Arial" w:hAnsi="Arial" w:cs="Arial"/>
                <w:noProof/>
                <w:webHidden/>
                <w:sz w:val="22"/>
                <w:szCs w:val="22"/>
              </w:rPr>
              <w:tab/>
            </w:r>
            <w:r w:rsidRPr="00DE22FB">
              <w:rPr>
                <w:rFonts w:ascii="Arial" w:hAnsi="Arial" w:cs="Arial"/>
                <w:noProof/>
                <w:webHidden/>
                <w:sz w:val="22"/>
                <w:szCs w:val="22"/>
              </w:rPr>
              <w:fldChar w:fldCharType="begin"/>
            </w:r>
            <w:r w:rsidRPr="00DE22FB">
              <w:rPr>
                <w:rFonts w:ascii="Arial" w:hAnsi="Arial" w:cs="Arial"/>
                <w:noProof/>
                <w:webHidden/>
                <w:sz w:val="22"/>
                <w:szCs w:val="22"/>
              </w:rPr>
              <w:instrText xml:space="preserve"> PAGEREF _Toc102632599 \h </w:instrText>
            </w:r>
            <w:r w:rsidRPr="00DE22FB">
              <w:rPr>
                <w:rFonts w:ascii="Arial" w:hAnsi="Arial" w:cs="Arial"/>
                <w:noProof/>
                <w:webHidden/>
                <w:sz w:val="22"/>
                <w:szCs w:val="22"/>
              </w:rPr>
            </w:r>
            <w:r w:rsidRPr="00DE22FB">
              <w:rPr>
                <w:rFonts w:ascii="Arial" w:hAnsi="Arial" w:cs="Arial"/>
                <w:noProof/>
                <w:webHidden/>
                <w:sz w:val="22"/>
                <w:szCs w:val="22"/>
              </w:rPr>
              <w:fldChar w:fldCharType="separate"/>
            </w:r>
            <w:r w:rsidR="009571AC">
              <w:rPr>
                <w:rFonts w:ascii="Arial" w:hAnsi="Arial" w:cs="Arial"/>
                <w:noProof/>
                <w:webHidden/>
                <w:sz w:val="22"/>
                <w:szCs w:val="22"/>
              </w:rPr>
              <w:t>2</w:t>
            </w:r>
            <w:r w:rsidRPr="00DE22FB">
              <w:rPr>
                <w:rFonts w:ascii="Arial" w:hAnsi="Arial" w:cs="Arial"/>
                <w:noProof/>
                <w:webHidden/>
                <w:sz w:val="22"/>
                <w:szCs w:val="22"/>
              </w:rPr>
              <w:fldChar w:fldCharType="end"/>
            </w:r>
          </w:hyperlink>
        </w:p>
        <w:p w14:paraId="3E45EB81" w14:textId="1B3B7746" w:rsidR="00DE22FB" w:rsidRPr="00DE22FB" w:rsidRDefault="00DE22FB">
          <w:pPr>
            <w:pStyle w:val="TOC1"/>
            <w:tabs>
              <w:tab w:val="right" w:leader="dot" w:pos="9016"/>
            </w:tabs>
            <w:rPr>
              <w:rFonts w:ascii="Arial" w:eastAsiaTheme="minorEastAsia" w:hAnsi="Arial" w:cs="Arial"/>
              <w:noProof/>
              <w:sz w:val="22"/>
              <w:szCs w:val="22"/>
            </w:rPr>
          </w:pPr>
          <w:hyperlink w:anchor="_Toc102632600" w:history="1">
            <w:r w:rsidRPr="00DE22FB">
              <w:rPr>
                <w:rStyle w:val="Hyperlink"/>
                <w:rFonts w:ascii="Arial" w:eastAsiaTheme="majorEastAsia" w:hAnsi="Arial" w:cs="Arial"/>
                <w:noProof/>
                <w:sz w:val="22"/>
                <w:szCs w:val="22"/>
              </w:rPr>
              <w:t>Records of other organisations and individuals</w:t>
            </w:r>
            <w:r w:rsidRPr="00DE22FB">
              <w:rPr>
                <w:rFonts w:ascii="Arial" w:hAnsi="Arial" w:cs="Arial"/>
                <w:noProof/>
                <w:webHidden/>
                <w:sz w:val="22"/>
                <w:szCs w:val="22"/>
              </w:rPr>
              <w:tab/>
            </w:r>
            <w:r w:rsidRPr="00DE22FB">
              <w:rPr>
                <w:rFonts w:ascii="Arial" w:hAnsi="Arial" w:cs="Arial"/>
                <w:noProof/>
                <w:webHidden/>
                <w:sz w:val="22"/>
                <w:szCs w:val="22"/>
              </w:rPr>
              <w:fldChar w:fldCharType="begin"/>
            </w:r>
            <w:r w:rsidRPr="00DE22FB">
              <w:rPr>
                <w:rFonts w:ascii="Arial" w:hAnsi="Arial" w:cs="Arial"/>
                <w:noProof/>
                <w:webHidden/>
                <w:sz w:val="22"/>
                <w:szCs w:val="22"/>
              </w:rPr>
              <w:instrText xml:space="preserve"> PAGEREF _Toc102632600 \h </w:instrText>
            </w:r>
            <w:r w:rsidRPr="00DE22FB">
              <w:rPr>
                <w:rFonts w:ascii="Arial" w:hAnsi="Arial" w:cs="Arial"/>
                <w:noProof/>
                <w:webHidden/>
                <w:sz w:val="22"/>
                <w:szCs w:val="22"/>
              </w:rPr>
            </w:r>
            <w:r w:rsidRPr="00DE22FB">
              <w:rPr>
                <w:rFonts w:ascii="Arial" w:hAnsi="Arial" w:cs="Arial"/>
                <w:noProof/>
                <w:webHidden/>
                <w:sz w:val="22"/>
                <w:szCs w:val="22"/>
              </w:rPr>
              <w:fldChar w:fldCharType="separate"/>
            </w:r>
            <w:r w:rsidR="009571AC">
              <w:rPr>
                <w:rFonts w:ascii="Arial" w:hAnsi="Arial" w:cs="Arial"/>
                <w:noProof/>
                <w:webHidden/>
                <w:sz w:val="22"/>
                <w:szCs w:val="22"/>
              </w:rPr>
              <w:t>2</w:t>
            </w:r>
            <w:r w:rsidRPr="00DE22FB">
              <w:rPr>
                <w:rFonts w:ascii="Arial" w:hAnsi="Arial" w:cs="Arial"/>
                <w:noProof/>
                <w:webHidden/>
                <w:sz w:val="22"/>
                <w:szCs w:val="22"/>
              </w:rPr>
              <w:fldChar w:fldCharType="end"/>
            </w:r>
          </w:hyperlink>
        </w:p>
        <w:p w14:paraId="1B688610" w14:textId="759AD133" w:rsidR="00DE22FB" w:rsidRPr="00DE22FB" w:rsidRDefault="00DE22FB">
          <w:pPr>
            <w:pStyle w:val="TOC1"/>
            <w:tabs>
              <w:tab w:val="right" w:leader="dot" w:pos="9016"/>
            </w:tabs>
            <w:rPr>
              <w:rFonts w:ascii="Arial" w:eastAsiaTheme="minorEastAsia" w:hAnsi="Arial" w:cs="Arial"/>
              <w:noProof/>
              <w:sz w:val="22"/>
              <w:szCs w:val="22"/>
            </w:rPr>
          </w:pPr>
          <w:hyperlink w:anchor="_Toc102632601" w:history="1">
            <w:r w:rsidRPr="00DE22FB">
              <w:rPr>
                <w:rStyle w:val="Hyperlink"/>
                <w:rFonts w:ascii="Arial" w:eastAsiaTheme="majorEastAsia" w:hAnsi="Arial" w:cs="Arial"/>
                <w:noProof/>
                <w:sz w:val="22"/>
                <w:szCs w:val="22"/>
              </w:rPr>
              <w:t>Appraisal criteria</w:t>
            </w:r>
            <w:r w:rsidRPr="00DE22FB">
              <w:rPr>
                <w:rFonts w:ascii="Arial" w:hAnsi="Arial" w:cs="Arial"/>
                <w:noProof/>
                <w:webHidden/>
                <w:sz w:val="22"/>
                <w:szCs w:val="22"/>
              </w:rPr>
              <w:tab/>
            </w:r>
            <w:r w:rsidRPr="00DE22FB">
              <w:rPr>
                <w:rFonts w:ascii="Arial" w:hAnsi="Arial" w:cs="Arial"/>
                <w:noProof/>
                <w:webHidden/>
                <w:sz w:val="22"/>
                <w:szCs w:val="22"/>
              </w:rPr>
              <w:fldChar w:fldCharType="begin"/>
            </w:r>
            <w:r w:rsidRPr="00DE22FB">
              <w:rPr>
                <w:rFonts w:ascii="Arial" w:hAnsi="Arial" w:cs="Arial"/>
                <w:noProof/>
                <w:webHidden/>
                <w:sz w:val="22"/>
                <w:szCs w:val="22"/>
              </w:rPr>
              <w:instrText xml:space="preserve"> PAGEREF _Toc102632601 \h </w:instrText>
            </w:r>
            <w:r w:rsidRPr="00DE22FB">
              <w:rPr>
                <w:rFonts w:ascii="Arial" w:hAnsi="Arial" w:cs="Arial"/>
                <w:noProof/>
                <w:webHidden/>
                <w:sz w:val="22"/>
                <w:szCs w:val="22"/>
              </w:rPr>
            </w:r>
            <w:r w:rsidRPr="00DE22FB">
              <w:rPr>
                <w:rFonts w:ascii="Arial" w:hAnsi="Arial" w:cs="Arial"/>
                <w:noProof/>
                <w:webHidden/>
                <w:sz w:val="22"/>
                <w:szCs w:val="22"/>
              </w:rPr>
              <w:fldChar w:fldCharType="separate"/>
            </w:r>
            <w:r w:rsidR="009571AC">
              <w:rPr>
                <w:rFonts w:ascii="Arial" w:hAnsi="Arial" w:cs="Arial"/>
                <w:noProof/>
                <w:webHidden/>
                <w:sz w:val="22"/>
                <w:szCs w:val="22"/>
              </w:rPr>
              <w:t>2</w:t>
            </w:r>
            <w:r w:rsidRPr="00DE22FB">
              <w:rPr>
                <w:rFonts w:ascii="Arial" w:hAnsi="Arial" w:cs="Arial"/>
                <w:noProof/>
                <w:webHidden/>
                <w:sz w:val="22"/>
                <w:szCs w:val="22"/>
              </w:rPr>
              <w:fldChar w:fldCharType="end"/>
            </w:r>
          </w:hyperlink>
        </w:p>
        <w:p w14:paraId="13EBD142" w14:textId="1320AD2A" w:rsidR="00DE22FB" w:rsidRPr="00DE22FB" w:rsidRDefault="00DE22FB">
          <w:pPr>
            <w:pStyle w:val="TOC1"/>
            <w:tabs>
              <w:tab w:val="right" w:leader="dot" w:pos="9016"/>
            </w:tabs>
            <w:rPr>
              <w:rFonts w:ascii="Arial" w:eastAsiaTheme="minorEastAsia" w:hAnsi="Arial" w:cs="Arial"/>
              <w:noProof/>
              <w:sz w:val="22"/>
              <w:szCs w:val="22"/>
            </w:rPr>
          </w:pPr>
          <w:hyperlink w:anchor="_Toc102632602" w:history="1">
            <w:r w:rsidRPr="00DE22FB">
              <w:rPr>
                <w:rStyle w:val="Hyperlink"/>
                <w:rFonts w:ascii="Arial" w:eastAsiaTheme="majorEastAsia" w:hAnsi="Arial" w:cs="Arial"/>
                <w:noProof/>
                <w:sz w:val="22"/>
                <w:szCs w:val="22"/>
              </w:rPr>
              <w:t>Roles and Responsibilities</w:t>
            </w:r>
            <w:r w:rsidRPr="00DE22FB">
              <w:rPr>
                <w:rFonts w:ascii="Arial" w:hAnsi="Arial" w:cs="Arial"/>
                <w:noProof/>
                <w:webHidden/>
                <w:sz w:val="22"/>
                <w:szCs w:val="22"/>
              </w:rPr>
              <w:tab/>
            </w:r>
            <w:r w:rsidRPr="00DE22FB">
              <w:rPr>
                <w:rFonts w:ascii="Arial" w:hAnsi="Arial" w:cs="Arial"/>
                <w:noProof/>
                <w:webHidden/>
                <w:sz w:val="22"/>
                <w:szCs w:val="22"/>
              </w:rPr>
              <w:fldChar w:fldCharType="begin"/>
            </w:r>
            <w:r w:rsidRPr="00DE22FB">
              <w:rPr>
                <w:rFonts w:ascii="Arial" w:hAnsi="Arial" w:cs="Arial"/>
                <w:noProof/>
                <w:webHidden/>
                <w:sz w:val="22"/>
                <w:szCs w:val="22"/>
              </w:rPr>
              <w:instrText xml:space="preserve"> PAGEREF _Toc102632602 \h </w:instrText>
            </w:r>
            <w:r w:rsidRPr="00DE22FB">
              <w:rPr>
                <w:rFonts w:ascii="Arial" w:hAnsi="Arial" w:cs="Arial"/>
                <w:noProof/>
                <w:webHidden/>
                <w:sz w:val="22"/>
                <w:szCs w:val="22"/>
              </w:rPr>
            </w:r>
            <w:r w:rsidRPr="00DE22FB">
              <w:rPr>
                <w:rFonts w:ascii="Arial" w:hAnsi="Arial" w:cs="Arial"/>
                <w:noProof/>
                <w:webHidden/>
                <w:sz w:val="22"/>
                <w:szCs w:val="22"/>
              </w:rPr>
              <w:fldChar w:fldCharType="separate"/>
            </w:r>
            <w:r w:rsidR="009571AC">
              <w:rPr>
                <w:rFonts w:ascii="Arial" w:hAnsi="Arial" w:cs="Arial"/>
                <w:noProof/>
                <w:webHidden/>
                <w:sz w:val="22"/>
                <w:szCs w:val="22"/>
              </w:rPr>
              <w:t>3</w:t>
            </w:r>
            <w:r w:rsidRPr="00DE22FB">
              <w:rPr>
                <w:rFonts w:ascii="Arial" w:hAnsi="Arial" w:cs="Arial"/>
                <w:noProof/>
                <w:webHidden/>
                <w:sz w:val="22"/>
                <w:szCs w:val="22"/>
              </w:rPr>
              <w:fldChar w:fldCharType="end"/>
            </w:r>
          </w:hyperlink>
        </w:p>
        <w:p w14:paraId="58C7825A" w14:textId="7C0FA2DA" w:rsidR="00DE22FB" w:rsidRPr="00DE22FB" w:rsidRDefault="00DE22FB">
          <w:pPr>
            <w:pStyle w:val="TOC1"/>
            <w:tabs>
              <w:tab w:val="right" w:leader="dot" w:pos="9016"/>
            </w:tabs>
            <w:rPr>
              <w:rFonts w:ascii="Arial" w:eastAsiaTheme="minorEastAsia" w:hAnsi="Arial" w:cs="Arial"/>
              <w:noProof/>
              <w:sz w:val="22"/>
              <w:szCs w:val="22"/>
            </w:rPr>
          </w:pPr>
          <w:hyperlink w:anchor="_Toc102632603" w:history="1">
            <w:r w:rsidRPr="00DE22FB">
              <w:rPr>
                <w:rStyle w:val="Hyperlink"/>
                <w:rFonts w:ascii="Arial" w:eastAsiaTheme="majorEastAsia" w:hAnsi="Arial" w:cs="Arial"/>
                <w:noProof/>
                <w:sz w:val="22"/>
                <w:szCs w:val="22"/>
              </w:rPr>
              <w:t>Disposal of material</w:t>
            </w:r>
            <w:r w:rsidRPr="00DE22FB">
              <w:rPr>
                <w:rFonts w:ascii="Arial" w:hAnsi="Arial" w:cs="Arial"/>
                <w:noProof/>
                <w:webHidden/>
                <w:sz w:val="22"/>
                <w:szCs w:val="22"/>
              </w:rPr>
              <w:tab/>
            </w:r>
            <w:r w:rsidRPr="00DE22FB">
              <w:rPr>
                <w:rFonts w:ascii="Arial" w:hAnsi="Arial" w:cs="Arial"/>
                <w:noProof/>
                <w:webHidden/>
                <w:sz w:val="22"/>
                <w:szCs w:val="22"/>
              </w:rPr>
              <w:fldChar w:fldCharType="begin"/>
            </w:r>
            <w:r w:rsidRPr="00DE22FB">
              <w:rPr>
                <w:rFonts w:ascii="Arial" w:hAnsi="Arial" w:cs="Arial"/>
                <w:noProof/>
                <w:webHidden/>
                <w:sz w:val="22"/>
                <w:szCs w:val="22"/>
              </w:rPr>
              <w:instrText xml:space="preserve"> PAGEREF _Toc102632603 \h </w:instrText>
            </w:r>
            <w:r w:rsidRPr="00DE22FB">
              <w:rPr>
                <w:rFonts w:ascii="Arial" w:hAnsi="Arial" w:cs="Arial"/>
                <w:noProof/>
                <w:webHidden/>
                <w:sz w:val="22"/>
                <w:szCs w:val="22"/>
              </w:rPr>
            </w:r>
            <w:r w:rsidRPr="00DE22FB">
              <w:rPr>
                <w:rFonts w:ascii="Arial" w:hAnsi="Arial" w:cs="Arial"/>
                <w:noProof/>
                <w:webHidden/>
                <w:sz w:val="22"/>
                <w:szCs w:val="22"/>
              </w:rPr>
              <w:fldChar w:fldCharType="separate"/>
            </w:r>
            <w:r w:rsidR="009571AC">
              <w:rPr>
                <w:rFonts w:ascii="Arial" w:hAnsi="Arial" w:cs="Arial"/>
                <w:noProof/>
                <w:webHidden/>
                <w:sz w:val="22"/>
                <w:szCs w:val="22"/>
              </w:rPr>
              <w:t>3</w:t>
            </w:r>
            <w:r w:rsidRPr="00DE22FB">
              <w:rPr>
                <w:rFonts w:ascii="Arial" w:hAnsi="Arial" w:cs="Arial"/>
                <w:noProof/>
                <w:webHidden/>
                <w:sz w:val="22"/>
                <w:szCs w:val="22"/>
              </w:rPr>
              <w:fldChar w:fldCharType="end"/>
            </w:r>
          </w:hyperlink>
        </w:p>
        <w:p w14:paraId="78E0AB6E" w14:textId="10C4E4F3" w:rsidR="00DE22FB" w:rsidRPr="00DE22FB" w:rsidRDefault="00DE22FB">
          <w:pPr>
            <w:pStyle w:val="TOC1"/>
            <w:tabs>
              <w:tab w:val="right" w:leader="dot" w:pos="9016"/>
            </w:tabs>
            <w:rPr>
              <w:rFonts w:ascii="Arial" w:eastAsiaTheme="minorEastAsia" w:hAnsi="Arial" w:cs="Arial"/>
              <w:noProof/>
              <w:sz w:val="22"/>
              <w:szCs w:val="22"/>
            </w:rPr>
          </w:pPr>
          <w:hyperlink w:anchor="_Toc102632604" w:history="1">
            <w:r w:rsidRPr="00DE22FB">
              <w:rPr>
                <w:rStyle w:val="Hyperlink"/>
                <w:rFonts w:ascii="Arial" w:eastAsiaTheme="majorEastAsia" w:hAnsi="Arial" w:cs="Arial"/>
                <w:noProof/>
                <w:sz w:val="22"/>
                <w:szCs w:val="22"/>
              </w:rPr>
              <w:t>Related Policies</w:t>
            </w:r>
            <w:r w:rsidRPr="00DE22FB">
              <w:rPr>
                <w:rFonts w:ascii="Arial" w:hAnsi="Arial" w:cs="Arial"/>
                <w:noProof/>
                <w:webHidden/>
                <w:sz w:val="22"/>
                <w:szCs w:val="22"/>
              </w:rPr>
              <w:tab/>
            </w:r>
            <w:r w:rsidRPr="00DE22FB">
              <w:rPr>
                <w:rFonts w:ascii="Arial" w:hAnsi="Arial" w:cs="Arial"/>
                <w:noProof/>
                <w:webHidden/>
                <w:sz w:val="22"/>
                <w:szCs w:val="22"/>
              </w:rPr>
              <w:fldChar w:fldCharType="begin"/>
            </w:r>
            <w:r w:rsidRPr="00DE22FB">
              <w:rPr>
                <w:rFonts w:ascii="Arial" w:hAnsi="Arial" w:cs="Arial"/>
                <w:noProof/>
                <w:webHidden/>
                <w:sz w:val="22"/>
                <w:szCs w:val="22"/>
              </w:rPr>
              <w:instrText xml:space="preserve"> PAGEREF _Toc102632604 \h </w:instrText>
            </w:r>
            <w:r w:rsidRPr="00DE22FB">
              <w:rPr>
                <w:rFonts w:ascii="Arial" w:hAnsi="Arial" w:cs="Arial"/>
                <w:noProof/>
                <w:webHidden/>
                <w:sz w:val="22"/>
                <w:szCs w:val="22"/>
              </w:rPr>
            </w:r>
            <w:r w:rsidRPr="00DE22FB">
              <w:rPr>
                <w:rFonts w:ascii="Arial" w:hAnsi="Arial" w:cs="Arial"/>
                <w:noProof/>
                <w:webHidden/>
                <w:sz w:val="22"/>
                <w:szCs w:val="22"/>
              </w:rPr>
              <w:fldChar w:fldCharType="separate"/>
            </w:r>
            <w:r w:rsidR="009571AC">
              <w:rPr>
                <w:rFonts w:ascii="Arial" w:hAnsi="Arial" w:cs="Arial"/>
                <w:noProof/>
                <w:webHidden/>
                <w:sz w:val="22"/>
                <w:szCs w:val="22"/>
              </w:rPr>
              <w:t>3</w:t>
            </w:r>
            <w:r w:rsidRPr="00DE22FB">
              <w:rPr>
                <w:rFonts w:ascii="Arial" w:hAnsi="Arial" w:cs="Arial"/>
                <w:noProof/>
                <w:webHidden/>
                <w:sz w:val="22"/>
                <w:szCs w:val="22"/>
              </w:rPr>
              <w:fldChar w:fldCharType="end"/>
            </w:r>
          </w:hyperlink>
        </w:p>
        <w:p w14:paraId="5E1D9B03" w14:textId="68DE4EEC" w:rsidR="00DE22FB" w:rsidRDefault="00DE22FB">
          <w:pPr>
            <w:pStyle w:val="TOC1"/>
            <w:tabs>
              <w:tab w:val="right" w:leader="dot" w:pos="9016"/>
            </w:tabs>
            <w:rPr>
              <w:rFonts w:asciiTheme="minorHAnsi" w:eastAsiaTheme="minorEastAsia" w:hAnsiTheme="minorHAnsi" w:cstheme="minorBidi"/>
              <w:noProof/>
              <w:sz w:val="22"/>
              <w:szCs w:val="22"/>
            </w:rPr>
          </w:pPr>
          <w:hyperlink w:anchor="_Toc102632605" w:history="1">
            <w:r w:rsidRPr="00DE22FB">
              <w:rPr>
                <w:rStyle w:val="Hyperlink"/>
                <w:rFonts w:ascii="Arial" w:eastAsia="Arial" w:hAnsi="Arial" w:cs="Arial"/>
                <w:noProof/>
                <w:sz w:val="22"/>
                <w:szCs w:val="22"/>
              </w:rPr>
              <w:t>Review</w:t>
            </w:r>
            <w:r w:rsidRPr="00DE22FB">
              <w:rPr>
                <w:rFonts w:ascii="Arial" w:hAnsi="Arial" w:cs="Arial"/>
                <w:noProof/>
                <w:webHidden/>
                <w:sz w:val="22"/>
                <w:szCs w:val="22"/>
              </w:rPr>
              <w:tab/>
            </w:r>
            <w:r w:rsidRPr="00DE22FB">
              <w:rPr>
                <w:rFonts w:ascii="Arial" w:hAnsi="Arial" w:cs="Arial"/>
                <w:noProof/>
                <w:webHidden/>
                <w:sz w:val="22"/>
                <w:szCs w:val="22"/>
              </w:rPr>
              <w:fldChar w:fldCharType="begin"/>
            </w:r>
            <w:r w:rsidRPr="00DE22FB">
              <w:rPr>
                <w:rFonts w:ascii="Arial" w:hAnsi="Arial" w:cs="Arial"/>
                <w:noProof/>
                <w:webHidden/>
                <w:sz w:val="22"/>
                <w:szCs w:val="22"/>
              </w:rPr>
              <w:instrText xml:space="preserve"> PAGEREF _Toc102632605 \h </w:instrText>
            </w:r>
            <w:r w:rsidRPr="00DE22FB">
              <w:rPr>
                <w:rFonts w:ascii="Arial" w:hAnsi="Arial" w:cs="Arial"/>
                <w:noProof/>
                <w:webHidden/>
                <w:sz w:val="22"/>
                <w:szCs w:val="22"/>
              </w:rPr>
            </w:r>
            <w:r w:rsidRPr="00DE22FB">
              <w:rPr>
                <w:rFonts w:ascii="Arial" w:hAnsi="Arial" w:cs="Arial"/>
                <w:noProof/>
                <w:webHidden/>
                <w:sz w:val="22"/>
                <w:szCs w:val="22"/>
              </w:rPr>
              <w:fldChar w:fldCharType="separate"/>
            </w:r>
            <w:r w:rsidR="009571AC">
              <w:rPr>
                <w:rFonts w:ascii="Arial" w:hAnsi="Arial" w:cs="Arial"/>
                <w:noProof/>
                <w:webHidden/>
                <w:sz w:val="22"/>
                <w:szCs w:val="22"/>
              </w:rPr>
              <w:t>3</w:t>
            </w:r>
            <w:r w:rsidRPr="00DE22FB">
              <w:rPr>
                <w:rFonts w:ascii="Arial" w:hAnsi="Arial" w:cs="Arial"/>
                <w:noProof/>
                <w:webHidden/>
                <w:sz w:val="22"/>
                <w:szCs w:val="22"/>
              </w:rPr>
              <w:fldChar w:fldCharType="end"/>
            </w:r>
          </w:hyperlink>
        </w:p>
        <w:p w14:paraId="36DC6881" w14:textId="30D0AC44" w:rsidR="00433650" w:rsidRDefault="003237D4" w:rsidP="3E2F0766">
          <w:pPr>
            <w:pStyle w:val="TOC1"/>
            <w:tabs>
              <w:tab w:val="right" w:leader="dot" w:pos="9015"/>
            </w:tabs>
            <w:rPr>
              <w:rFonts w:ascii="Arial" w:eastAsia="Arial" w:hAnsi="Arial" w:cs="Arial"/>
              <w:noProof/>
            </w:rPr>
          </w:pPr>
          <w:r>
            <w:fldChar w:fldCharType="end"/>
          </w:r>
        </w:p>
      </w:sdtContent>
    </w:sdt>
    <w:p w14:paraId="3DC4D820" w14:textId="40A1ECBD" w:rsidR="009E50C1" w:rsidRDefault="009E50C1" w:rsidP="007E0731"/>
    <w:p w14:paraId="3B35F376" w14:textId="0E772797" w:rsidR="007C3F07" w:rsidRDefault="007C3F07" w:rsidP="007E0731">
      <w:pPr>
        <w:rPr>
          <w:rFonts w:ascii="Arial" w:hAnsi="Arial" w:cs="Arial"/>
          <w:b/>
          <w:bCs/>
          <w:sz w:val="28"/>
          <w:szCs w:val="28"/>
        </w:rPr>
      </w:pPr>
    </w:p>
    <w:p w14:paraId="3E7A9F1C" w14:textId="74494DAE" w:rsidR="00062374" w:rsidRPr="007C3F07" w:rsidRDefault="00062374" w:rsidP="007E0731">
      <w:pPr>
        <w:pStyle w:val="Heading1"/>
        <w:rPr>
          <w:rFonts w:ascii="Arial" w:hAnsi="Arial" w:cs="Arial"/>
          <w:b/>
          <w:bCs/>
          <w:color w:val="auto"/>
          <w:sz w:val="28"/>
          <w:szCs w:val="28"/>
        </w:rPr>
      </w:pPr>
      <w:bookmarkStart w:id="0" w:name="_Toc102632597"/>
      <w:r w:rsidRPr="3E2F0766">
        <w:rPr>
          <w:rFonts w:ascii="Arial" w:hAnsi="Arial" w:cs="Arial"/>
          <w:b/>
          <w:bCs/>
          <w:color w:val="auto"/>
          <w:sz w:val="28"/>
          <w:szCs w:val="28"/>
        </w:rPr>
        <w:t>Introduction</w:t>
      </w:r>
      <w:bookmarkEnd w:id="0"/>
    </w:p>
    <w:p w14:paraId="672A6659" w14:textId="77777777" w:rsidR="00062374" w:rsidRPr="0017651A" w:rsidRDefault="00062374" w:rsidP="007E0731">
      <w:pPr>
        <w:rPr>
          <w:rFonts w:ascii="Arial" w:hAnsi="Arial" w:cs="Arial"/>
        </w:rPr>
      </w:pPr>
    </w:p>
    <w:p w14:paraId="4974ADF0" w14:textId="2EA70B59" w:rsidR="0012167E" w:rsidRDefault="00062374" w:rsidP="00BD3F02">
      <w:pPr>
        <w:rPr>
          <w:rFonts w:ascii="Arial" w:hAnsi="Arial" w:cs="Arial"/>
        </w:rPr>
      </w:pPr>
      <w:r w:rsidRPr="3E2F0766">
        <w:rPr>
          <w:rFonts w:ascii="Arial" w:hAnsi="Arial" w:cs="Arial"/>
        </w:rPr>
        <w:t>Gwent Archives collects, preserves and makes accessible archival records relating to the</w:t>
      </w:r>
      <w:r w:rsidR="00B672D2" w:rsidRPr="3E2F0766">
        <w:rPr>
          <w:rFonts w:ascii="Arial" w:hAnsi="Arial" w:cs="Arial"/>
        </w:rPr>
        <w:t xml:space="preserve"> old administrative county of </w:t>
      </w:r>
      <w:r w:rsidR="01245422" w:rsidRPr="3E2F0766">
        <w:rPr>
          <w:rFonts w:ascii="Arial" w:hAnsi="Arial" w:cs="Arial"/>
        </w:rPr>
        <w:t>Gwent</w:t>
      </w:r>
      <w:r w:rsidRPr="3E2F0766">
        <w:rPr>
          <w:rFonts w:ascii="Arial" w:hAnsi="Arial" w:cs="Arial"/>
        </w:rPr>
        <w:t xml:space="preserve"> </w:t>
      </w:r>
      <w:r w:rsidR="00324566" w:rsidRPr="3E2F0766">
        <w:rPr>
          <w:rFonts w:ascii="Arial" w:hAnsi="Arial" w:cs="Arial"/>
        </w:rPr>
        <w:t>and</w:t>
      </w:r>
      <w:r w:rsidR="0042159B" w:rsidRPr="3E2F0766">
        <w:rPr>
          <w:rFonts w:ascii="Arial" w:hAnsi="Arial" w:cs="Arial"/>
        </w:rPr>
        <w:t xml:space="preserve"> its people.</w:t>
      </w:r>
      <w:r w:rsidRPr="3E2F0766">
        <w:rPr>
          <w:rFonts w:ascii="Arial" w:hAnsi="Arial" w:cs="Arial"/>
        </w:rPr>
        <w:t xml:space="preserve"> </w:t>
      </w:r>
      <w:r w:rsidR="00001118" w:rsidRPr="3E2F0766">
        <w:rPr>
          <w:rFonts w:ascii="Arial" w:hAnsi="Arial" w:cs="Arial"/>
        </w:rPr>
        <w:t xml:space="preserve"> </w:t>
      </w:r>
      <w:r w:rsidR="56B60869" w:rsidRPr="2545D29D">
        <w:rPr>
          <w:rFonts w:ascii="Arial" w:hAnsi="Arial" w:cs="Arial"/>
        </w:rPr>
        <w:t xml:space="preserve">This policy explains how records are selected </w:t>
      </w:r>
      <w:r w:rsidR="00D61FDD" w:rsidRPr="2545D29D">
        <w:rPr>
          <w:rFonts w:ascii="Arial" w:hAnsi="Arial" w:cs="Arial"/>
        </w:rPr>
        <w:t xml:space="preserve">to </w:t>
      </w:r>
      <w:r w:rsidR="00D61FDD" w:rsidRPr="3E2F0766">
        <w:rPr>
          <w:rFonts w:ascii="Arial" w:hAnsi="Arial" w:cs="Arial"/>
        </w:rPr>
        <w:t>ensure</w:t>
      </w:r>
      <w:r w:rsidR="00001118" w:rsidRPr="3E2F0766">
        <w:rPr>
          <w:rFonts w:ascii="Arial" w:hAnsi="Arial" w:cs="Arial"/>
        </w:rPr>
        <w:t xml:space="preserve"> that the collections acquired meet the Archive Collections Policy</w:t>
      </w:r>
      <w:r w:rsidR="00A77037" w:rsidRPr="3E2F0766">
        <w:rPr>
          <w:rFonts w:ascii="Arial" w:hAnsi="Arial" w:cs="Arial"/>
        </w:rPr>
        <w:t xml:space="preserve"> </w:t>
      </w:r>
      <w:r w:rsidR="71D1BAEA" w:rsidRPr="3E2F0766">
        <w:rPr>
          <w:rFonts w:ascii="Arial" w:hAnsi="Arial" w:cs="Arial"/>
        </w:rPr>
        <w:t>criteria</w:t>
      </w:r>
      <w:r w:rsidR="00A77037" w:rsidRPr="3E2F0766">
        <w:rPr>
          <w:rFonts w:ascii="Arial" w:hAnsi="Arial" w:cs="Arial"/>
        </w:rPr>
        <w:t xml:space="preserve">.  </w:t>
      </w:r>
    </w:p>
    <w:p w14:paraId="32E7D70D" w14:textId="77777777" w:rsidR="009C4B65" w:rsidRDefault="009C4B65" w:rsidP="00BD3F02">
      <w:pPr>
        <w:rPr>
          <w:rFonts w:ascii="Arial" w:hAnsi="Arial" w:cs="Arial"/>
        </w:rPr>
      </w:pPr>
    </w:p>
    <w:p w14:paraId="42BFFD32" w14:textId="1D56F3C8" w:rsidR="00062374" w:rsidRPr="0017651A" w:rsidRDefault="0F485389" w:rsidP="00BD3F02">
      <w:pPr>
        <w:rPr>
          <w:rFonts w:ascii="Arial" w:hAnsi="Arial" w:cs="Arial"/>
        </w:rPr>
      </w:pPr>
      <w:r w:rsidRPr="3E2F0766">
        <w:rPr>
          <w:rFonts w:ascii="Arial" w:hAnsi="Arial" w:cs="Arial"/>
        </w:rPr>
        <w:t xml:space="preserve">Archival Appraisal is the process of evaluating which records have </w:t>
      </w:r>
      <w:r w:rsidR="009A4ED9">
        <w:rPr>
          <w:rFonts w:ascii="Arial" w:hAnsi="Arial" w:cs="Arial"/>
        </w:rPr>
        <w:t>a continuing</w:t>
      </w:r>
      <w:r w:rsidR="008B7452">
        <w:rPr>
          <w:rFonts w:ascii="Arial" w:hAnsi="Arial" w:cs="Arial"/>
        </w:rPr>
        <w:t xml:space="preserve"> </w:t>
      </w:r>
      <w:r w:rsidR="00AB5730">
        <w:rPr>
          <w:rFonts w:ascii="Arial" w:hAnsi="Arial" w:cs="Arial"/>
        </w:rPr>
        <w:t>evidential and historical</w:t>
      </w:r>
      <w:r w:rsidR="4E6BF114" w:rsidRPr="3E2F0766">
        <w:rPr>
          <w:rFonts w:ascii="Arial" w:hAnsi="Arial" w:cs="Arial"/>
        </w:rPr>
        <w:t xml:space="preserve"> value</w:t>
      </w:r>
      <w:r w:rsidR="6F4A930E" w:rsidRPr="3E2F0766">
        <w:rPr>
          <w:rFonts w:ascii="Arial" w:hAnsi="Arial" w:cs="Arial"/>
        </w:rPr>
        <w:t>, not just</w:t>
      </w:r>
      <w:r w:rsidR="4E6BF114" w:rsidRPr="3E2F0766">
        <w:rPr>
          <w:rFonts w:ascii="Arial" w:hAnsi="Arial" w:cs="Arial"/>
        </w:rPr>
        <w:t xml:space="preserve"> to the creating organisation</w:t>
      </w:r>
      <w:r w:rsidR="00EF2E37" w:rsidRPr="3E2F0766">
        <w:rPr>
          <w:rFonts w:ascii="Arial" w:hAnsi="Arial" w:cs="Arial"/>
        </w:rPr>
        <w:t>, family or individual</w:t>
      </w:r>
      <w:r w:rsidR="2FB052E8" w:rsidRPr="3E2F0766">
        <w:rPr>
          <w:rFonts w:ascii="Arial" w:hAnsi="Arial" w:cs="Arial"/>
        </w:rPr>
        <w:t>,</w:t>
      </w:r>
      <w:r w:rsidR="4E6BF114" w:rsidRPr="3E2F0766">
        <w:rPr>
          <w:rFonts w:ascii="Arial" w:hAnsi="Arial" w:cs="Arial"/>
        </w:rPr>
        <w:t xml:space="preserve"> </w:t>
      </w:r>
      <w:r w:rsidR="6CBFC160" w:rsidRPr="3E2F0766">
        <w:rPr>
          <w:rFonts w:ascii="Arial" w:hAnsi="Arial" w:cs="Arial"/>
        </w:rPr>
        <w:t>but also</w:t>
      </w:r>
      <w:r w:rsidR="2AD28BEA" w:rsidRPr="3E2F0766">
        <w:rPr>
          <w:rFonts w:ascii="Arial" w:hAnsi="Arial" w:cs="Arial"/>
        </w:rPr>
        <w:t xml:space="preserve"> </w:t>
      </w:r>
      <w:r w:rsidR="006C5115" w:rsidRPr="3E2F0766">
        <w:rPr>
          <w:rFonts w:ascii="Arial" w:hAnsi="Arial" w:cs="Arial"/>
        </w:rPr>
        <w:t xml:space="preserve">to </w:t>
      </w:r>
      <w:r w:rsidR="4E6BF114" w:rsidRPr="3E2F0766">
        <w:rPr>
          <w:rFonts w:ascii="Arial" w:hAnsi="Arial" w:cs="Arial"/>
        </w:rPr>
        <w:t xml:space="preserve">the </w:t>
      </w:r>
      <w:r w:rsidR="78B0897B" w:rsidRPr="3E2F0766">
        <w:rPr>
          <w:rFonts w:ascii="Arial" w:hAnsi="Arial" w:cs="Arial"/>
        </w:rPr>
        <w:t>wider community.</w:t>
      </w:r>
      <w:r w:rsidR="4D613F03" w:rsidRPr="3E2F0766">
        <w:rPr>
          <w:rFonts w:ascii="Arial" w:hAnsi="Arial" w:cs="Arial"/>
        </w:rPr>
        <w:t xml:space="preserve"> </w:t>
      </w:r>
    </w:p>
    <w:p w14:paraId="5DAB6C7B" w14:textId="77777777" w:rsidR="00062374" w:rsidRPr="0017651A" w:rsidRDefault="00062374" w:rsidP="00BD3F02">
      <w:pPr>
        <w:rPr>
          <w:rFonts w:ascii="Arial" w:hAnsi="Arial" w:cs="Arial"/>
        </w:rPr>
      </w:pPr>
    </w:p>
    <w:p w14:paraId="0706D544" w14:textId="29DD83B3" w:rsidR="3D90057A" w:rsidRDefault="3D90057A" w:rsidP="00BD3F02">
      <w:pPr>
        <w:rPr>
          <w:rFonts w:ascii="Arial" w:hAnsi="Arial" w:cs="Arial"/>
        </w:rPr>
      </w:pPr>
      <w:r w:rsidRPr="55946B79">
        <w:rPr>
          <w:rFonts w:ascii="Arial" w:hAnsi="Arial" w:cs="Arial"/>
        </w:rPr>
        <w:t>The purpose of this policy</w:t>
      </w:r>
      <w:r w:rsidR="3535F9BA" w:rsidRPr="55946B79">
        <w:rPr>
          <w:rFonts w:ascii="Arial" w:hAnsi="Arial" w:cs="Arial"/>
        </w:rPr>
        <w:t xml:space="preserve"> is to facilitate </w:t>
      </w:r>
      <w:r w:rsidR="00AF5E87" w:rsidRPr="55946B79">
        <w:rPr>
          <w:rFonts w:ascii="Arial" w:hAnsi="Arial" w:cs="Arial"/>
        </w:rPr>
        <w:t xml:space="preserve">and communicate </w:t>
      </w:r>
      <w:r w:rsidR="37FD0504" w:rsidRPr="55946B79">
        <w:rPr>
          <w:rFonts w:ascii="Arial" w:hAnsi="Arial" w:cs="Arial"/>
        </w:rPr>
        <w:t>consistent, well-informed and transparent appraisal decisions.</w:t>
      </w:r>
      <w:r w:rsidR="6E021FF8" w:rsidRPr="55946B79">
        <w:rPr>
          <w:rFonts w:ascii="Arial" w:hAnsi="Arial" w:cs="Arial"/>
        </w:rPr>
        <w:t xml:space="preserve"> The policy sets out the </w:t>
      </w:r>
      <w:r w:rsidR="55F45CCE" w:rsidRPr="55946B79">
        <w:rPr>
          <w:rFonts w:ascii="Arial" w:hAnsi="Arial" w:cs="Arial"/>
        </w:rPr>
        <w:t>principles behind selection</w:t>
      </w:r>
      <w:r w:rsidR="14994200" w:rsidRPr="55946B79">
        <w:rPr>
          <w:rFonts w:ascii="Arial" w:hAnsi="Arial" w:cs="Arial"/>
        </w:rPr>
        <w:t xml:space="preserve"> and </w:t>
      </w:r>
      <w:r w:rsidR="003D7EEF">
        <w:rPr>
          <w:rFonts w:ascii="Arial" w:hAnsi="Arial" w:cs="Arial"/>
        </w:rPr>
        <w:t xml:space="preserve">explains </w:t>
      </w:r>
      <w:r w:rsidR="28910501" w:rsidRPr="55946B79">
        <w:rPr>
          <w:rFonts w:ascii="Arial" w:hAnsi="Arial" w:cs="Arial"/>
        </w:rPr>
        <w:t>Gwent Archives’</w:t>
      </w:r>
      <w:r w:rsidR="14994200" w:rsidRPr="55946B79">
        <w:rPr>
          <w:rFonts w:ascii="Arial" w:hAnsi="Arial" w:cs="Arial"/>
        </w:rPr>
        <w:t xml:space="preserve"> procedures.</w:t>
      </w:r>
    </w:p>
    <w:p w14:paraId="02EB378F" w14:textId="0903AF61" w:rsidR="00062374" w:rsidRDefault="00062374" w:rsidP="00BD3F02">
      <w:pPr>
        <w:rPr>
          <w:rFonts w:ascii="Arial" w:hAnsi="Arial" w:cs="Arial"/>
        </w:rPr>
      </w:pPr>
    </w:p>
    <w:p w14:paraId="6D6BC17A" w14:textId="427DC55F" w:rsidR="00784BB4" w:rsidRDefault="00784BB4" w:rsidP="00784BB4">
      <w:pPr>
        <w:pStyle w:val="Heading1"/>
        <w:rPr>
          <w:rFonts w:ascii="Arial" w:hAnsi="Arial" w:cs="Arial"/>
          <w:b/>
          <w:bCs/>
          <w:color w:val="auto"/>
          <w:sz w:val="28"/>
          <w:szCs w:val="28"/>
        </w:rPr>
      </w:pPr>
      <w:bookmarkStart w:id="1" w:name="_Toc102632598"/>
      <w:r w:rsidRPr="3E2F0766">
        <w:rPr>
          <w:rFonts w:ascii="Arial" w:hAnsi="Arial" w:cs="Arial"/>
          <w:b/>
          <w:bCs/>
          <w:color w:val="auto"/>
          <w:sz w:val="28"/>
          <w:szCs w:val="28"/>
        </w:rPr>
        <w:t>Scope</w:t>
      </w:r>
      <w:bookmarkEnd w:id="1"/>
    </w:p>
    <w:p w14:paraId="6E09985D" w14:textId="77777777" w:rsidR="001A1B6A" w:rsidRPr="001A1B6A" w:rsidRDefault="001A1B6A" w:rsidP="001A1B6A"/>
    <w:p w14:paraId="7B6C1FE2" w14:textId="77777777" w:rsidR="0080428B" w:rsidRPr="00433650" w:rsidRDefault="003D7EEF" w:rsidP="00433650">
      <w:pPr>
        <w:rPr>
          <w:rFonts w:ascii="Arial" w:hAnsi="Arial" w:cs="Arial"/>
        </w:rPr>
      </w:pPr>
      <w:r w:rsidRPr="00433650">
        <w:rPr>
          <w:rFonts w:ascii="Arial" w:hAnsi="Arial" w:cs="Arial"/>
        </w:rPr>
        <w:t>This policy applies to</w:t>
      </w:r>
      <w:r w:rsidR="0080428B" w:rsidRPr="00433650">
        <w:rPr>
          <w:rFonts w:ascii="Arial" w:hAnsi="Arial" w:cs="Arial"/>
        </w:rPr>
        <w:t xml:space="preserve"> </w:t>
      </w:r>
    </w:p>
    <w:p w14:paraId="4F677D5F" w14:textId="18FAA399" w:rsidR="003D7EEF" w:rsidRPr="00433650" w:rsidRDefault="0080428B" w:rsidP="00433650">
      <w:pPr>
        <w:pStyle w:val="ListParagraph"/>
        <w:numPr>
          <w:ilvl w:val="0"/>
          <w:numId w:val="10"/>
        </w:numPr>
        <w:rPr>
          <w:rFonts w:ascii="Arial" w:hAnsi="Arial" w:cs="Arial"/>
        </w:rPr>
      </w:pPr>
      <w:r w:rsidRPr="00433650">
        <w:rPr>
          <w:rFonts w:ascii="Arial" w:hAnsi="Arial" w:cs="Arial"/>
        </w:rPr>
        <w:t xml:space="preserve">the non-current records of our 5 constituent Authorities (Blaenau Gwent County Borough Council, Caerphilly County Borough Council, </w:t>
      </w:r>
      <w:r w:rsidR="009E0B1D" w:rsidRPr="00433650">
        <w:rPr>
          <w:rFonts w:ascii="Arial" w:hAnsi="Arial" w:cs="Arial"/>
        </w:rPr>
        <w:t>Monmouthshire County Council, Newport City Council and Torfaen County Borough Council</w:t>
      </w:r>
      <w:r w:rsidR="00E636B7" w:rsidRPr="00433650">
        <w:rPr>
          <w:rFonts w:ascii="Arial" w:hAnsi="Arial" w:cs="Arial"/>
        </w:rPr>
        <w:t>)</w:t>
      </w:r>
    </w:p>
    <w:p w14:paraId="5193DD2D" w14:textId="5B80414E" w:rsidR="00DF4E4D" w:rsidRDefault="00DF4E4D" w:rsidP="00433650">
      <w:pPr>
        <w:pStyle w:val="ListParagraph"/>
        <w:numPr>
          <w:ilvl w:val="0"/>
          <w:numId w:val="10"/>
        </w:numPr>
        <w:rPr>
          <w:rFonts w:ascii="Arial" w:hAnsi="Arial" w:cs="Arial"/>
        </w:rPr>
      </w:pPr>
      <w:r w:rsidRPr="00433650">
        <w:rPr>
          <w:rFonts w:ascii="Arial" w:hAnsi="Arial" w:cs="Arial"/>
        </w:rPr>
        <w:t>records offered to us by organisations and individuals</w:t>
      </w:r>
    </w:p>
    <w:p w14:paraId="612F81D1" w14:textId="7E85A159" w:rsidR="00674EF7" w:rsidRPr="00433650" w:rsidRDefault="00674EF7" w:rsidP="00433650">
      <w:pPr>
        <w:pStyle w:val="ListParagraph"/>
        <w:numPr>
          <w:ilvl w:val="0"/>
          <w:numId w:val="10"/>
        </w:numPr>
        <w:rPr>
          <w:rFonts w:ascii="Arial" w:hAnsi="Arial" w:cs="Arial"/>
        </w:rPr>
      </w:pPr>
      <w:r>
        <w:rPr>
          <w:rFonts w:ascii="Arial" w:hAnsi="Arial" w:cs="Arial"/>
        </w:rPr>
        <w:t>analogue and digital records</w:t>
      </w:r>
    </w:p>
    <w:p w14:paraId="1A4DA96F" w14:textId="07B49FCC" w:rsidR="003D7EEF" w:rsidRDefault="003D7EEF" w:rsidP="007E0731">
      <w:pPr>
        <w:pStyle w:val="Heading1"/>
        <w:rPr>
          <w:rFonts w:ascii="Arial" w:hAnsi="Arial" w:cs="Arial"/>
          <w:b/>
          <w:bCs/>
          <w:color w:val="auto"/>
          <w:sz w:val="28"/>
          <w:szCs w:val="28"/>
        </w:rPr>
      </w:pPr>
    </w:p>
    <w:p w14:paraId="3762FFAB" w14:textId="77777777" w:rsidR="00DF4D68" w:rsidRPr="00DF4D68" w:rsidRDefault="00DF4D68" w:rsidP="00DF4D68"/>
    <w:p w14:paraId="2347755F" w14:textId="5E5AA67B" w:rsidR="009C3555" w:rsidRDefault="009C3555" w:rsidP="009C3555">
      <w:pPr>
        <w:pStyle w:val="Heading1"/>
        <w:rPr>
          <w:rFonts w:ascii="Arial" w:hAnsi="Arial" w:cs="Arial"/>
          <w:b/>
          <w:bCs/>
          <w:color w:val="auto"/>
          <w:sz w:val="28"/>
          <w:szCs w:val="28"/>
        </w:rPr>
      </w:pPr>
      <w:bookmarkStart w:id="2" w:name="_Toc102632599"/>
      <w:r w:rsidRPr="3E2F0766">
        <w:rPr>
          <w:rFonts w:ascii="Arial" w:hAnsi="Arial" w:cs="Arial"/>
          <w:b/>
          <w:bCs/>
          <w:color w:val="auto"/>
          <w:sz w:val="28"/>
          <w:szCs w:val="28"/>
        </w:rPr>
        <w:t>Records of our Authorities</w:t>
      </w:r>
      <w:bookmarkEnd w:id="2"/>
    </w:p>
    <w:p w14:paraId="2AD3BA35" w14:textId="39EC6E2D" w:rsidR="009C3555" w:rsidRDefault="009C3555" w:rsidP="009C3555"/>
    <w:p w14:paraId="424BB0CD" w14:textId="2BD2F2CC" w:rsidR="009C3555" w:rsidRDefault="009C3555" w:rsidP="009C3555">
      <w:pPr>
        <w:rPr>
          <w:rFonts w:ascii="Arial" w:hAnsi="Arial" w:cs="Arial"/>
        </w:rPr>
      </w:pPr>
      <w:r>
        <w:rPr>
          <w:rFonts w:ascii="Arial" w:hAnsi="Arial" w:cs="Arial"/>
        </w:rPr>
        <w:t>We will liaise closely with appropriate Information Management staff from our 5 Authorities to:</w:t>
      </w:r>
    </w:p>
    <w:p w14:paraId="752C27A2" w14:textId="67A49BEB" w:rsidR="009C3555" w:rsidRDefault="00C44E17" w:rsidP="009C3555">
      <w:pPr>
        <w:pStyle w:val="ListParagraph"/>
        <w:numPr>
          <w:ilvl w:val="0"/>
          <w:numId w:val="6"/>
        </w:numPr>
        <w:rPr>
          <w:rFonts w:ascii="Arial" w:hAnsi="Arial" w:cs="Arial"/>
        </w:rPr>
      </w:pPr>
      <w:r>
        <w:rPr>
          <w:rFonts w:ascii="Arial" w:hAnsi="Arial" w:cs="Arial"/>
        </w:rPr>
        <w:t>ensure</w:t>
      </w:r>
      <w:r w:rsidRPr="009C3555">
        <w:rPr>
          <w:rFonts w:ascii="Arial" w:hAnsi="Arial" w:cs="Arial"/>
        </w:rPr>
        <w:t xml:space="preserve"> </w:t>
      </w:r>
      <w:r w:rsidR="009C3555" w:rsidRPr="009C3555">
        <w:rPr>
          <w:rFonts w:ascii="Arial" w:hAnsi="Arial" w:cs="Arial"/>
        </w:rPr>
        <w:t xml:space="preserve">that digital and paper records appropriate for permanent preservation are deposited with us </w:t>
      </w:r>
    </w:p>
    <w:p w14:paraId="2C25E3D5" w14:textId="7AA05CEA" w:rsidR="009C3555" w:rsidRDefault="009C3555" w:rsidP="009C3555">
      <w:pPr>
        <w:pStyle w:val="ListParagraph"/>
        <w:numPr>
          <w:ilvl w:val="0"/>
          <w:numId w:val="6"/>
        </w:numPr>
        <w:rPr>
          <w:rFonts w:ascii="Arial" w:hAnsi="Arial" w:cs="Arial"/>
        </w:rPr>
      </w:pPr>
      <w:r w:rsidRPr="009C3555">
        <w:rPr>
          <w:rFonts w:ascii="Arial" w:hAnsi="Arial" w:cs="Arial"/>
        </w:rPr>
        <w:t xml:space="preserve">to appraise records following the expiration of their retention period. </w:t>
      </w:r>
    </w:p>
    <w:p w14:paraId="7519689A" w14:textId="374C6FB6" w:rsidR="008E0171" w:rsidRDefault="008E0171" w:rsidP="008E0171">
      <w:pPr>
        <w:rPr>
          <w:rFonts w:ascii="Arial" w:hAnsi="Arial" w:cs="Arial"/>
        </w:rPr>
      </w:pPr>
    </w:p>
    <w:p w14:paraId="4A1A4F96" w14:textId="77777777" w:rsidR="008E0171" w:rsidRPr="007D0671" w:rsidRDefault="008E0171" w:rsidP="008E0171">
      <w:pPr>
        <w:pStyle w:val="Heading1"/>
        <w:rPr>
          <w:rFonts w:ascii="Arial" w:hAnsi="Arial" w:cs="Arial"/>
          <w:b/>
          <w:bCs/>
          <w:sz w:val="28"/>
          <w:szCs w:val="28"/>
        </w:rPr>
      </w:pPr>
      <w:bookmarkStart w:id="3" w:name="_Toc102632600"/>
      <w:r w:rsidRPr="3E2F0766">
        <w:rPr>
          <w:rFonts w:ascii="Arial" w:hAnsi="Arial" w:cs="Arial"/>
          <w:b/>
          <w:bCs/>
          <w:color w:val="auto"/>
          <w:sz w:val="28"/>
          <w:szCs w:val="28"/>
        </w:rPr>
        <w:t>Records of other organisations and individuals</w:t>
      </w:r>
      <w:bookmarkEnd w:id="3"/>
    </w:p>
    <w:p w14:paraId="6E6BFFC3" w14:textId="77777777" w:rsidR="008E0171" w:rsidRDefault="008E0171" w:rsidP="008E0171">
      <w:pPr>
        <w:rPr>
          <w:b/>
          <w:bCs/>
        </w:rPr>
      </w:pPr>
    </w:p>
    <w:p w14:paraId="113CCF3F" w14:textId="092983E4" w:rsidR="008E0171" w:rsidRDefault="008E0171" w:rsidP="008E0171">
      <w:pPr>
        <w:rPr>
          <w:rFonts w:ascii="Arial" w:hAnsi="Arial" w:cs="Arial"/>
        </w:rPr>
      </w:pPr>
      <w:r>
        <w:rPr>
          <w:rFonts w:ascii="Arial" w:hAnsi="Arial" w:cs="Arial"/>
        </w:rPr>
        <w:t xml:space="preserve">This section refers to records and resources offered to Gwent Archives as long-term loans, gifts or to purchase. </w:t>
      </w:r>
      <w:r w:rsidRPr="55946B79">
        <w:rPr>
          <w:rFonts w:ascii="Arial" w:hAnsi="Arial" w:cs="Arial"/>
        </w:rPr>
        <w:t>Depositors and potential depositors will be strongly encouraged to carry out appraisal prior to deposit</w:t>
      </w:r>
      <w:r>
        <w:rPr>
          <w:rFonts w:ascii="Arial" w:hAnsi="Arial" w:cs="Arial"/>
        </w:rPr>
        <w:t xml:space="preserve">, with </w:t>
      </w:r>
      <w:r w:rsidR="00BF1E45">
        <w:rPr>
          <w:rFonts w:ascii="Arial" w:hAnsi="Arial" w:cs="Arial"/>
        </w:rPr>
        <w:t>guidance</w:t>
      </w:r>
      <w:r>
        <w:rPr>
          <w:rFonts w:ascii="Arial" w:hAnsi="Arial" w:cs="Arial"/>
        </w:rPr>
        <w:t xml:space="preserve"> and advice from Gwent Archives staff</w:t>
      </w:r>
      <w:r w:rsidR="00BF1E45">
        <w:rPr>
          <w:rFonts w:ascii="Arial" w:hAnsi="Arial" w:cs="Arial"/>
        </w:rPr>
        <w:t xml:space="preserve">.   </w:t>
      </w:r>
    </w:p>
    <w:p w14:paraId="403FC69D" w14:textId="64E76E97" w:rsidR="008E0171" w:rsidRDefault="008E0171" w:rsidP="008E0171">
      <w:pPr>
        <w:rPr>
          <w:rFonts w:ascii="Arial" w:hAnsi="Arial" w:cs="Arial"/>
        </w:rPr>
      </w:pPr>
    </w:p>
    <w:p w14:paraId="761E641C" w14:textId="30B41361" w:rsidR="00062374" w:rsidRDefault="008020C6" w:rsidP="007E0731">
      <w:pPr>
        <w:pStyle w:val="Heading1"/>
        <w:rPr>
          <w:rFonts w:ascii="Arial" w:hAnsi="Arial" w:cs="Arial"/>
          <w:b/>
          <w:bCs/>
          <w:color w:val="auto"/>
          <w:sz w:val="28"/>
          <w:szCs w:val="28"/>
        </w:rPr>
      </w:pPr>
      <w:bookmarkStart w:id="4" w:name="_Toc102632601"/>
      <w:r w:rsidRPr="3E2F0766">
        <w:rPr>
          <w:rFonts w:ascii="Arial" w:hAnsi="Arial" w:cs="Arial"/>
          <w:b/>
          <w:bCs/>
          <w:color w:val="auto"/>
          <w:sz w:val="28"/>
          <w:szCs w:val="28"/>
        </w:rPr>
        <w:t>Appraisal criteria</w:t>
      </w:r>
      <w:bookmarkEnd w:id="4"/>
    </w:p>
    <w:p w14:paraId="07583626" w14:textId="763DFE21" w:rsidR="008020C6" w:rsidRDefault="008020C6" w:rsidP="008020C6"/>
    <w:p w14:paraId="434B211D" w14:textId="74C9455E" w:rsidR="008020C6" w:rsidRDefault="008020C6" w:rsidP="008020C6">
      <w:pPr>
        <w:rPr>
          <w:rFonts w:ascii="Arial" w:hAnsi="Arial" w:cs="Arial"/>
        </w:rPr>
      </w:pPr>
      <w:r w:rsidRPr="3E2F0766">
        <w:rPr>
          <w:rFonts w:ascii="Arial" w:hAnsi="Arial" w:cs="Arial"/>
        </w:rPr>
        <w:t xml:space="preserve">Basic appraisal will be </w:t>
      </w:r>
      <w:r w:rsidR="00D75E1B" w:rsidRPr="3E2F0766">
        <w:rPr>
          <w:rFonts w:ascii="Arial" w:hAnsi="Arial" w:cs="Arial"/>
        </w:rPr>
        <w:t>undertaken during discussions with the depositor or potential depositor and guidance</w:t>
      </w:r>
      <w:r w:rsidR="07D4004E" w:rsidRPr="3E2F0766">
        <w:rPr>
          <w:rFonts w:ascii="Arial" w:hAnsi="Arial" w:cs="Arial"/>
        </w:rPr>
        <w:t xml:space="preserve"> offered</w:t>
      </w:r>
      <w:r w:rsidR="006209FA" w:rsidRPr="3E2F0766">
        <w:rPr>
          <w:rFonts w:ascii="Arial" w:hAnsi="Arial" w:cs="Arial"/>
        </w:rPr>
        <w:t>, covering:</w:t>
      </w:r>
    </w:p>
    <w:p w14:paraId="63C98895" w14:textId="00DF4808" w:rsidR="006209FA" w:rsidRDefault="006209FA" w:rsidP="006209FA">
      <w:pPr>
        <w:pStyle w:val="ListParagraph"/>
        <w:numPr>
          <w:ilvl w:val="0"/>
          <w:numId w:val="7"/>
        </w:numPr>
        <w:rPr>
          <w:rFonts w:ascii="Arial" w:hAnsi="Arial" w:cs="Arial"/>
        </w:rPr>
      </w:pPr>
      <w:r>
        <w:rPr>
          <w:rFonts w:ascii="Arial" w:hAnsi="Arial" w:cs="Arial"/>
        </w:rPr>
        <w:t>whether the material</w:t>
      </w:r>
      <w:r w:rsidR="00EF49BB">
        <w:rPr>
          <w:rFonts w:ascii="Arial" w:hAnsi="Arial" w:cs="Arial"/>
        </w:rPr>
        <w:t xml:space="preserve"> falls under our Collections Policies for archive and / or library resources</w:t>
      </w:r>
    </w:p>
    <w:p w14:paraId="10DB1880" w14:textId="19D0168B" w:rsidR="00EF49BB" w:rsidRDefault="0079545C" w:rsidP="006209FA">
      <w:pPr>
        <w:pStyle w:val="ListParagraph"/>
        <w:numPr>
          <w:ilvl w:val="0"/>
          <w:numId w:val="7"/>
        </w:numPr>
        <w:rPr>
          <w:rFonts w:ascii="Arial" w:hAnsi="Arial" w:cs="Arial"/>
        </w:rPr>
      </w:pPr>
      <w:r>
        <w:rPr>
          <w:rFonts w:ascii="Arial" w:hAnsi="Arial" w:cs="Arial"/>
        </w:rPr>
        <w:t>identifying and removing items that do not fall under the Collections Policy</w:t>
      </w:r>
    </w:p>
    <w:p w14:paraId="5EFD9003" w14:textId="456A7298" w:rsidR="0079545C" w:rsidRDefault="0079545C" w:rsidP="006209FA">
      <w:pPr>
        <w:pStyle w:val="ListParagraph"/>
        <w:numPr>
          <w:ilvl w:val="0"/>
          <w:numId w:val="7"/>
        </w:numPr>
        <w:rPr>
          <w:rFonts w:ascii="Arial" w:hAnsi="Arial" w:cs="Arial"/>
        </w:rPr>
      </w:pPr>
      <w:r>
        <w:rPr>
          <w:rFonts w:ascii="Arial" w:hAnsi="Arial" w:cs="Arial"/>
        </w:rPr>
        <w:t>the removal of blank/unused material</w:t>
      </w:r>
    </w:p>
    <w:p w14:paraId="1FBB05D1" w14:textId="72FFAA72" w:rsidR="00FB6A7D" w:rsidRDefault="00805B6D" w:rsidP="006209FA">
      <w:pPr>
        <w:pStyle w:val="ListParagraph"/>
        <w:numPr>
          <w:ilvl w:val="0"/>
          <w:numId w:val="7"/>
        </w:numPr>
        <w:rPr>
          <w:rFonts w:ascii="Arial" w:hAnsi="Arial" w:cs="Arial"/>
        </w:rPr>
      </w:pPr>
      <w:r>
        <w:rPr>
          <w:rFonts w:ascii="Arial" w:hAnsi="Arial" w:cs="Arial"/>
        </w:rPr>
        <w:t xml:space="preserve">duplicate items, and material that would also be held elsewhere </w:t>
      </w:r>
    </w:p>
    <w:p w14:paraId="3A1D81F8" w14:textId="77777777" w:rsidR="0079545C" w:rsidRPr="0079545C" w:rsidRDefault="0079545C" w:rsidP="0079545C">
      <w:pPr>
        <w:rPr>
          <w:rFonts w:ascii="Arial" w:hAnsi="Arial" w:cs="Arial"/>
        </w:rPr>
      </w:pPr>
    </w:p>
    <w:p w14:paraId="1ED17A4E" w14:textId="50901717" w:rsidR="00ED7B0A" w:rsidRDefault="00607C3D">
      <w:pPr>
        <w:rPr>
          <w:rFonts w:ascii="Arial" w:hAnsi="Arial" w:cs="Arial"/>
        </w:rPr>
      </w:pPr>
      <w:r>
        <w:rPr>
          <w:rFonts w:ascii="Arial" w:hAnsi="Arial" w:cs="Arial"/>
        </w:rPr>
        <w:t>More detailed appraisal will take place in-situ at Gwent Archives</w:t>
      </w:r>
      <w:r w:rsidR="00AD702C">
        <w:rPr>
          <w:rFonts w:ascii="Arial" w:hAnsi="Arial" w:cs="Arial"/>
        </w:rPr>
        <w:t xml:space="preserve"> during the cataloguing process, and the following criteria will be used:</w:t>
      </w:r>
    </w:p>
    <w:p w14:paraId="53A40DAA" w14:textId="77777777" w:rsidR="00ED7B0A" w:rsidRPr="0017651A" w:rsidRDefault="00ED7B0A" w:rsidP="00ED7B0A">
      <w:pPr>
        <w:rPr>
          <w:rFonts w:ascii="Arial" w:hAnsi="Arial" w:cs="Arial"/>
          <w:b/>
          <w:bCs/>
          <w:u w:val="single"/>
        </w:rPr>
      </w:pPr>
    </w:p>
    <w:p w14:paraId="2DAA0B06" w14:textId="6DB8DA3F" w:rsidR="2F7423B6" w:rsidRDefault="6613D274" w:rsidP="006E3E65">
      <w:pPr>
        <w:pStyle w:val="ListParagraph"/>
        <w:numPr>
          <w:ilvl w:val="0"/>
          <w:numId w:val="8"/>
        </w:numPr>
        <w:rPr>
          <w:rFonts w:ascii="Arial" w:hAnsi="Arial" w:cs="Arial"/>
        </w:rPr>
      </w:pPr>
      <w:r w:rsidRPr="0048283E">
        <w:rPr>
          <w:rFonts w:ascii="Arial" w:hAnsi="Arial" w:cs="Arial"/>
        </w:rPr>
        <w:t>Emphasis will be on the selection of records which contain summary information</w:t>
      </w:r>
      <w:r w:rsidR="0048283E" w:rsidRPr="0048283E">
        <w:rPr>
          <w:rFonts w:ascii="Arial" w:hAnsi="Arial" w:cs="Arial"/>
        </w:rPr>
        <w:t xml:space="preserve">, for example </w:t>
      </w:r>
      <w:r w:rsidR="0048283E">
        <w:rPr>
          <w:rFonts w:ascii="Arial" w:hAnsi="Arial" w:cs="Arial"/>
        </w:rPr>
        <w:t>in the case of</w:t>
      </w:r>
      <w:r w:rsidR="11A18E50" w:rsidRPr="0048283E">
        <w:rPr>
          <w:rFonts w:ascii="Arial" w:hAnsi="Arial" w:cs="Arial"/>
        </w:rPr>
        <w:t xml:space="preserve"> </w:t>
      </w:r>
      <w:r w:rsidRPr="0048283E">
        <w:rPr>
          <w:rFonts w:ascii="Arial" w:hAnsi="Arial" w:cs="Arial"/>
        </w:rPr>
        <w:t>School record</w:t>
      </w:r>
      <w:r w:rsidR="601E6BD8" w:rsidRPr="0048283E">
        <w:rPr>
          <w:rFonts w:ascii="Arial" w:hAnsi="Arial" w:cs="Arial"/>
        </w:rPr>
        <w:t>s</w:t>
      </w:r>
      <w:r w:rsidR="0048283E">
        <w:rPr>
          <w:rFonts w:ascii="Arial" w:hAnsi="Arial" w:cs="Arial"/>
        </w:rPr>
        <w:t xml:space="preserve"> </w:t>
      </w:r>
      <w:r w:rsidRPr="0048283E">
        <w:rPr>
          <w:rFonts w:ascii="Arial" w:hAnsi="Arial" w:cs="Arial"/>
        </w:rPr>
        <w:t xml:space="preserve">Admission Registers will be retained but Attendance Registers will </w:t>
      </w:r>
      <w:r w:rsidR="129BB97A" w:rsidRPr="0048283E">
        <w:rPr>
          <w:rFonts w:ascii="Arial" w:hAnsi="Arial" w:cs="Arial"/>
        </w:rPr>
        <w:t>be destroyed</w:t>
      </w:r>
      <w:r w:rsidRPr="0048283E">
        <w:rPr>
          <w:rFonts w:ascii="Arial" w:hAnsi="Arial" w:cs="Arial"/>
        </w:rPr>
        <w:t xml:space="preserve">. </w:t>
      </w:r>
      <w:r w:rsidR="2BE88553" w:rsidRPr="0048283E">
        <w:rPr>
          <w:rFonts w:ascii="Arial" w:hAnsi="Arial" w:cs="Arial"/>
        </w:rPr>
        <w:t>Where no Admission Registers have survived, a sample of Attendance Registers may be retained</w:t>
      </w:r>
    </w:p>
    <w:p w14:paraId="6799984C" w14:textId="77777777" w:rsidR="00661ADA" w:rsidRDefault="00661ADA" w:rsidP="00661ADA">
      <w:pPr>
        <w:pStyle w:val="ListParagraph"/>
        <w:rPr>
          <w:rFonts w:ascii="Arial" w:hAnsi="Arial" w:cs="Arial"/>
        </w:rPr>
      </w:pPr>
    </w:p>
    <w:p w14:paraId="2B73756C" w14:textId="4ACB698D" w:rsidR="006371F0" w:rsidRDefault="006371F0" w:rsidP="006E3E65">
      <w:pPr>
        <w:pStyle w:val="ListParagraph"/>
        <w:numPr>
          <w:ilvl w:val="0"/>
          <w:numId w:val="8"/>
        </w:numPr>
        <w:rPr>
          <w:rFonts w:ascii="Arial" w:hAnsi="Arial" w:cs="Arial"/>
        </w:rPr>
      </w:pPr>
      <w:r>
        <w:rPr>
          <w:rFonts w:ascii="Arial" w:hAnsi="Arial" w:cs="Arial"/>
        </w:rPr>
        <w:t>Whether the items fill any identified gaps in our collections</w:t>
      </w:r>
    </w:p>
    <w:p w14:paraId="789D3197" w14:textId="77777777" w:rsidR="00661ADA" w:rsidRPr="00661ADA" w:rsidRDefault="00661ADA" w:rsidP="00661ADA">
      <w:pPr>
        <w:rPr>
          <w:rFonts w:ascii="Arial" w:hAnsi="Arial" w:cs="Arial"/>
        </w:rPr>
      </w:pPr>
    </w:p>
    <w:p w14:paraId="06781144" w14:textId="16B13CAF" w:rsidR="006371F0" w:rsidRDefault="008B487B" w:rsidP="006E3E65">
      <w:pPr>
        <w:pStyle w:val="ListParagraph"/>
        <w:numPr>
          <w:ilvl w:val="0"/>
          <w:numId w:val="8"/>
        </w:numPr>
        <w:rPr>
          <w:rFonts w:ascii="Arial" w:hAnsi="Arial" w:cs="Arial"/>
        </w:rPr>
      </w:pPr>
      <w:r>
        <w:rPr>
          <w:rFonts w:ascii="Arial" w:hAnsi="Arial" w:cs="Arial"/>
        </w:rPr>
        <w:t>If any legislation is in place to guide on the appr</w:t>
      </w:r>
      <w:r w:rsidR="00661ADA">
        <w:rPr>
          <w:rFonts w:ascii="Arial" w:hAnsi="Arial" w:cs="Arial"/>
        </w:rPr>
        <w:t>aisal of some classes of records</w:t>
      </w:r>
    </w:p>
    <w:p w14:paraId="3A238A9A" w14:textId="77777777" w:rsidR="004F762D" w:rsidRDefault="004F762D" w:rsidP="004F762D">
      <w:pPr>
        <w:pStyle w:val="ListParagraph"/>
        <w:rPr>
          <w:rFonts w:ascii="Arial" w:hAnsi="Arial" w:cs="Arial"/>
        </w:rPr>
      </w:pPr>
    </w:p>
    <w:p w14:paraId="7C03DF7E" w14:textId="40ADD243" w:rsidR="004F762D" w:rsidRDefault="009935CE" w:rsidP="006E3E65">
      <w:pPr>
        <w:pStyle w:val="ListParagraph"/>
        <w:numPr>
          <w:ilvl w:val="0"/>
          <w:numId w:val="2"/>
        </w:numPr>
        <w:rPr>
          <w:rFonts w:ascii="Arial" w:hAnsi="Arial" w:cs="Arial"/>
        </w:rPr>
      </w:pPr>
      <w:r w:rsidRPr="004331FC">
        <w:rPr>
          <w:rFonts w:ascii="Arial" w:hAnsi="Arial" w:cs="Arial"/>
        </w:rPr>
        <w:t xml:space="preserve">The content </w:t>
      </w:r>
      <w:r w:rsidR="004331FC" w:rsidRPr="004331FC">
        <w:rPr>
          <w:rFonts w:ascii="Arial" w:hAnsi="Arial" w:cs="Arial"/>
        </w:rPr>
        <w:t>of the documents,</w:t>
      </w:r>
      <w:r w:rsidR="00661ADA">
        <w:rPr>
          <w:rFonts w:ascii="Arial" w:hAnsi="Arial" w:cs="Arial"/>
        </w:rPr>
        <w:t xml:space="preserve"> including </w:t>
      </w:r>
      <w:r w:rsidR="004331FC" w:rsidRPr="004331FC">
        <w:rPr>
          <w:rFonts w:ascii="Arial" w:hAnsi="Arial" w:cs="Arial"/>
        </w:rPr>
        <w:t xml:space="preserve">whether they </w:t>
      </w:r>
    </w:p>
    <w:p w14:paraId="4A4F2B5E" w14:textId="77777777" w:rsidR="004F762D" w:rsidRDefault="004331FC" w:rsidP="00DE22FB">
      <w:pPr>
        <w:pStyle w:val="ListParagraph"/>
        <w:numPr>
          <w:ilvl w:val="1"/>
          <w:numId w:val="11"/>
        </w:numPr>
        <w:rPr>
          <w:rFonts w:ascii="Arial" w:hAnsi="Arial" w:cs="Arial"/>
        </w:rPr>
      </w:pPr>
      <w:r w:rsidRPr="004331FC">
        <w:rPr>
          <w:rFonts w:ascii="Arial" w:hAnsi="Arial" w:cs="Arial"/>
        </w:rPr>
        <w:t xml:space="preserve">contain </w:t>
      </w:r>
      <w:r w:rsidR="00062374" w:rsidRPr="004331FC">
        <w:rPr>
          <w:rFonts w:ascii="Arial" w:hAnsi="Arial" w:cs="Arial"/>
        </w:rPr>
        <w:t>significant informatio</w:t>
      </w:r>
      <w:r w:rsidR="00F83FB1" w:rsidRPr="004331FC">
        <w:rPr>
          <w:rFonts w:ascii="Arial" w:hAnsi="Arial" w:cs="Arial"/>
        </w:rPr>
        <w:t>n on notable events and persons</w:t>
      </w:r>
    </w:p>
    <w:p w14:paraId="6B7D774B" w14:textId="77777777" w:rsidR="004F762D" w:rsidRDefault="00062374" w:rsidP="00DE22FB">
      <w:pPr>
        <w:pStyle w:val="ListParagraph"/>
        <w:numPr>
          <w:ilvl w:val="1"/>
          <w:numId w:val="11"/>
        </w:numPr>
        <w:rPr>
          <w:rFonts w:ascii="Arial" w:hAnsi="Arial" w:cs="Arial"/>
        </w:rPr>
      </w:pPr>
      <w:r w:rsidRPr="004F762D">
        <w:rPr>
          <w:rFonts w:ascii="Arial" w:hAnsi="Arial" w:cs="Arial"/>
        </w:rPr>
        <w:t>relate to major trends and developments in the political, legal, social, economic or cultural history of Gwent</w:t>
      </w:r>
    </w:p>
    <w:p w14:paraId="4696E64B" w14:textId="4A97B0DC" w:rsidR="00062374" w:rsidRDefault="004F762D" w:rsidP="00DE22FB">
      <w:pPr>
        <w:pStyle w:val="ListParagraph"/>
        <w:numPr>
          <w:ilvl w:val="1"/>
          <w:numId w:val="11"/>
        </w:numPr>
        <w:rPr>
          <w:rFonts w:ascii="Arial" w:hAnsi="Arial" w:cs="Arial"/>
        </w:rPr>
      </w:pPr>
      <w:r w:rsidRPr="3E2F0766">
        <w:rPr>
          <w:rFonts w:ascii="Arial" w:hAnsi="Arial" w:cs="Arial"/>
        </w:rPr>
        <w:t xml:space="preserve">contribute to </w:t>
      </w:r>
      <w:r w:rsidR="00062374" w:rsidRPr="3E2F0766">
        <w:rPr>
          <w:rFonts w:ascii="Arial" w:hAnsi="Arial" w:cs="Arial"/>
        </w:rPr>
        <w:t>signif</w:t>
      </w:r>
      <w:r w:rsidR="00F83FB1" w:rsidRPr="3E2F0766">
        <w:rPr>
          <w:rFonts w:ascii="Arial" w:hAnsi="Arial" w:cs="Arial"/>
        </w:rPr>
        <w:t>icant scientific, technological</w:t>
      </w:r>
      <w:r w:rsidR="00062374" w:rsidRPr="3E2F0766">
        <w:rPr>
          <w:rFonts w:ascii="Arial" w:hAnsi="Arial" w:cs="Arial"/>
        </w:rPr>
        <w:t>, ecological or medical developments</w:t>
      </w:r>
    </w:p>
    <w:p w14:paraId="3AC35452" w14:textId="7BD53A6A" w:rsidR="006C2640" w:rsidRDefault="008E4FC4" w:rsidP="00BC531E">
      <w:pPr>
        <w:rPr>
          <w:rFonts w:ascii="Arial" w:hAnsi="Arial" w:cs="Arial"/>
        </w:rPr>
      </w:pPr>
      <w:r>
        <w:rPr>
          <w:rFonts w:ascii="Arial" w:hAnsi="Arial" w:cs="Arial"/>
        </w:rPr>
        <w:t xml:space="preserve">Professional </w:t>
      </w:r>
      <w:r w:rsidR="00D02D25">
        <w:rPr>
          <w:rFonts w:ascii="Arial" w:hAnsi="Arial" w:cs="Arial"/>
        </w:rPr>
        <w:t xml:space="preserve">and legal </w:t>
      </w:r>
      <w:r>
        <w:rPr>
          <w:rFonts w:ascii="Arial" w:hAnsi="Arial" w:cs="Arial"/>
        </w:rPr>
        <w:t xml:space="preserve">guidelines </w:t>
      </w:r>
      <w:r w:rsidR="001A1B6A">
        <w:rPr>
          <w:rFonts w:ascii="Arial" w:hAnsi="Arial" w:cs="Arial"/>
        </w:rPr>
        <w:t>will be followed</w:t>
      </w:r>
      <w:r w:rsidR="006C2640">
        <w:rPr>
          <w:rFonts w:ascii="Arial" w:hAnsi="Arial" w:cs="Arial"/>
        </w:rPr>
        <w:t>, including guidance produced by:</w:t>
      </w:r>
    </w:p>
    <w:p w14:paraId="34CE0A41" w14:textId="2AE45C27" w:rsidR="004A6DAF" w:rsidRDefault="006C2640" w:rsidP="006C2640">
      <w:pPr>
        <w:pStyle w:val="ListParagraph"/>
        <w:numPr>
          <w:ilvl w:val="0"/>
          <w:numId w:val="2"/>
        </w:numPr>
        <w:rPr>
          <w:rFonts w:ascii="Arial" w:hAnsi="Arial" w:cs="Arial"/>
        </w:rPr>
      </w:pPr>
      <w:r>
        <w:rPr>
          <w:rFonts w:ascii="Arial" w:hAnsi="Arial" w:cs="Arial"/>
        </w:rPr>
        <w:t>The National Archives</w:t>
      </w:r>
      <w:r w:rsidR="00CF2D56">
        <w:rPr>
          <w:rFonts w:ascii="Arial" w:hAnsi="Arial" w:cs="Arial"/>
        </w:rPr>
        <w:t xml:space="preserve"> guidance on appraising Public Records</w:t>
      </w:r>
    </w:p>
    <w:p w14:paraId="04195F52" w14:textId="5B116C65" w:rsidR="006C2640" w:rsidRDefault="006C2640" w:rsidP="006C2640">
      <w:pPr>
        <w:pStyle w:val="ListParagraph"/>
        <w:numPr>
          <w:ilvl w:val="0"/>
          <w:numId w:val="2"/>
        </w:numPr>
        <w:rPr>
          <w:rFonts w:ascii="Arial" w:hAnsi="Arial" w:cs="Arial"/>
        </w:rPr>
      </w:pPr>
      <w:r>
        <w:rPr>
          <w:rFonts w:ascii="Arial" w:hAnsi="Arial" w:cs="Arial"/>
        </w:rPr>
        <w:t>Archives and Records Association</w:t>
      </w:r>
    </w:p>
    <w:p w14:paraId="46783F59" w14:textId="094692B0" w:rsidR="00D50877" w:rsidRDefault="00D50877" w:rsidP="006C2640">
      <w:pPr>
        <w:pStyle w:val="ListParagraph"/>
        <w:numPr>
          <w:ilvl w:val="0"/>
          <w:numId w:val="2"/>
        </w:numPr>
        <w:rPr>
          <w:rFonts w:ascii="Arial" w:hAnsi="Arial" w:cs="Arial"/>
        </w:rPr>
      </w:pPr>
      <w:r>
        <w:rPr>
          <w:rFonts w:ascii="Arial" w:hAnsi="Arial" w:cs="Arial"/>
        </w:rPr>
        <w:t>Information and Records Management Society</w:t>
      </w:r>
    </w:p>
    <w:p w14:paraId="528E4C68" w14:textId="41703F82" w:rsidR="006C2640" w:rsidRDefault="00D50877" w:rsidP="006C2640">
      <w:pPr>
        <w:pStyle w:val="ListParagraph"/>
        <w:numPr>
          <w:ilvl w:val="0"/>
          <w:numId w:val="2"/>
        </w:numPr>
        <w:rPr>
          <w:rFonts w:ascii="Arial" w:hAnsi="Arial" w:cs="Arial"/>
        </w:rPr>
      </w:pPr>
      <w:r>
        <w:rPr>
          <w:rFonts w:ascii="Arial" w:hAnsi="Arial" w:cs="Arial"/>
        </w:rPr>
        <w:t xml:space="preserve">The Methodist Church </w:t>
      </w:r>
      <w:r w:rsidR="005B3A13">
        <w:rPr>
          <w:rFonts w:ascii="Arial" w:hAnsi="Arial" w:cs="Arial"/>
        </w:rPr>
        <w:t>Retention Schedules</w:t>
      </w:r>
    </w:p>
    <w:p w14:paraId="5344A481" w14:textId="0A4137B2" w:rsidR="005B3A13" w:rsidRDefault="005B3A13" w:rsidP="006C2640">
      <w:pPr>
        <w:pStyle w:val="ListParagraph"/>
        <w:numPr>
          <w:ilvl w:val="0"/>
          <w:numId w:val="2"/>
        </w:numPr>
        <w:rPr>
          <w:rFonts w:ascii="Arial" w:hAnsi="Arial" w:cs="Arial"/>
        </w:rPr>
      </w:pPr>
      <w:r>
        <w:rPr>
          <w:rFonts w:ascii="Arial" w:hAnsi="Arial" w:cs="Arial"/>
        </w:rPr>
        <w:t xml:space="preserve">The Church in Wales </w:t>
      </w:r>
      <w:r w:rsidRPr="00D50877">
        <w:rPr>
          <w:rFonts w:ascii="Arial" w:hAnsi="Arial" w:cs="Arial"/>
          <w:i/>
          <w:iCs/>
        </w:rPr>
        <w:t>Keep it or Bin it</w:t>
      </w:r>
      <w:r>
        <w:rPr>
          <w:rFonts w:ascii="Arial" w:hAnsi="Arial" w:cs="Arial"/>
        </w:rPr>
        <w:t xml:space="preserve"> guidelines</w:t>
      </w:r>
    </w:p>
    <w:p w14:paraId="03025680" w14:textId="273279A9" w:rsidR="00D50877" w:rsidRDefault="00D50877" w:rsidP="006C2640">
      <w:pPr>
        <w:pStyle w:val="ListParagraph"/>
        <w:numPr>
          <w:ilvl w:val="0"/>
          <w:numId w:val="2"/>
        </w:numPr>
        <w:rPr>
          <w:rFonts w:ascii="Arial" w:hAnsi="Arial" w:cs="Arial"/>
        </w:rPr>
      </w:pPr>
      <w:r>
        <w:rPr>
          <w:rFonts w:ascii="Arial" w:hAnsi="Arial" w:cs="Arial"/>
        </w:rPr>
        <w:t>Local Government Retention Schedules</w:t>
      </w:r>
    </w:p>
    <w:p w14:paraId="56721559" w14:textId="39C6EEEC" w:rsidR="00D02D25" w:rsidRPr="006C2640" w:rsidRDefault="00D02D25" w:rsidP="006C2640">
      <w:pPr>
        <w:pStyle w:val="ListParagraph"/>
        <w:numPr>
          <w:ilvl w:val="0"/>
          <w:numId w:val="2"/>
        </w:numPr>
        <w:rPr>
          <w:rFonts w:ascii="Arial" w:hAnsi="Arial" w:cs="Arial"/>
        </w:rPr>
      </w:pPr>
      <w:r>
        <w:rPr>
          <w:rFonts w:ascii="Arial" w:hAnsi="Arial" w:cs="Arial"/>
        </w:rPr>
        <w:t xml:space="preserve">Legislation preventing the </w:t>
      </w:r>
      <w:r w:rsidR="004860CC">
        <w:rPr>
          <w:rFonts w:ascii="Arial" w:hAnsi="Arial" w:cs="Arial"/>
        </w:rPr>
        <w:t>appraisal of certain types of records</w:t>
      </w:r>
    </w:p>
    <w:p w14:paraId="4AA8216E" w14:textId="77777777" w:rsidR="004F762D" w:rsidRPr="004F762D" w:rsidRDefault="004F762D" w:rsidP="004F762D">
      <w:pPr>
        <w:rPr>
          <w:rFonts w:ascii="Arial" w:hAnsi="Arial" w:cs="Arial"/>
        </w:rPr>
      </w:pPr>
    </w:p>
    <w:p w14:paraId="7F3BD31D" w14:textId="3B4C0776" w:rsidR="2F7423B6" w:rsidRDefault="006153E3" w:rsidP="001A1B6A">
      <w:pPr>
        <w:rPr>
          <w:rFonts w:ascii="Arial" w:hAnsi="Arial" w:cs="Arial"/>
        </w:rPr>
      </w:pPr>
      <w:r>
        <w:rPr>
          <w:rFonts w:ascii="Arial" w:hAnsi="Arial" w:cs="Arial"/>
        </w:rPr>
        <w:t>Existing catalogues may be re-appr</w:t>
      </w:r>
      <w:r w:rsidR="00945AEB">
        <w:rPr>
          <w:rFonts w:ascii="Arial" w:hAnsi="Arial" w:cs="Arial"/>
        </w:rPr>
        <w:t>aised as part of our collections review process, and all appraisal decisions will be recorded</w:t>
      </w:r>
      <w:r w:rsidR="00FB6A7D">
        <w:rPr>
          <w:rFonts w:ascii="Arial" w:hAnsi="Arial" w:cs="Arial"/>
        </w:rPr>
        <w:t xml:space="preserve"> for new and existing collections as part of our documentation procedures. </w:t>
      </w:r>
    </w:p>
    <w:p w14:paraId="6EC70159" w14:textId="77777777" w:rsidR="001A1B6A" w:rsidRPr="006153E3" w:rsidRDefault="001A1B6A" w:rsidP="001A1B6A">
      <w:pPr>
        <w:rPr>
          <w:rFonts w:ascii="Arial" w:hAnsi="Arial" w:cs="Arial"/>
        </w:rPr>
      </w:pPr>
    </w:p>
    <w:p w14:paraId="47B5F043" w14:textId="1AD030BD" w:rsidR="007121A6" w:rsidRPr="001A1B6A" w:rsidRDefault="007121A6" w:rsidP="001A1B6A">
      <w:pPr>
        <w:pStyle w:val="Heading1"/>
        <w:rPr>
          <w:rFonts w:ascii="Arial" w:hAnsi="Arial" w:cs="Arial"/>
          <w:b/>
          <w:bCs/>
          <w:color w:val="auto"/>
          <w:sz w:val="28"/>
          <w:szCs w:val="28"/>
        </w:rPr>
      </w:pPr>
      <w:bookmarkStart w:id="5" w:name="_Toc102632602"/>
      <w:r w:rsidRPr="3E2F0766">
        <w:rPr>
          <w:rFonts w:ascii="Arial" w:hAnsi="Arial" w:cs="Arial"/>
          <w:b/>
          <w:bCs/>
          <w:color w:val="auto"/>
          <w:sz w:val="28"/>
          <w:szCs w:val="28"/>
        </w:rPr>
        <w:t>Roles and Responsibilities</w:t>
      </w:r>
      <w:bookmarkEnd w:id="5"/>
    </w:p>
    <w:p w14:paraId="3FEA8DD0" w14:textId="77777777" w:rsidR="007121A6" w:rsidRDefault="007121A6" w:rsidP="001A1B6A">
      <w:pPr>
        <w:rPr>
          <w:rFonts w:ascii="Arial" w:hAnsi="Arial" w:cs="Arial"/>
          <w:b/>
          <w:bCs/>
        </w:rPr>
      </w:pPr>
    </w:p>
    <w:p w14:paraId="38AE3DFD" w14:textId="2C563893" w:rsidR="127E7EE2" w:rsidRDefault="127E7EE2" w:rsidP="001A1B6A">
      <w:pPr>
        <w:rPr>
          <w:rFonts w:ascii="Arial" w:hAnsi="Arial" w:cs="Arial"/>
        </w:rPr>
      </w:pPr>
      <w:r w:rsidRPr="55946B79">
        <w:rPr>
          <w:rFonts w:ascii="Arial" w:hAnsi="Arial" w:cs="Arial"/>
        </w:rPr>
        <w:t xml:space="preserve">Appraisal will be carried out by </w:t>
      </w:r>
      <w:r w:rsidR="007121A6" w:rsidRPr="55946B79">
        <w:rPr>
          <w:rFonts w:ascii="Arial" w:hAnsi="Arial" w:cs="Arial"/>
        </w:rPr>
        <w:t xml:space="preserve">qualified </w:t>
      </w:r>
      <w:r w:rsidR="003F4DE6" w:rsidRPr="55946B79">
        <w:rPr>
          <w:rFonts w:ascii="Arial" w:hAnsi="Arial" w:cs="Arial"/>
        </w:rPr>
        <w:t>a</w:t>
      </w:r>
      <w:r w:rsidRPr="55946B79">
        <w:rPr>
          <w:rFonts w:ascii="Arial" w:hAnsi="Arial" w:cs="Arial"/>
        </w:rPr>
        <w:t>rchivists</w:t>
      </w:r>
      <w:r w:rsidR="007121A6" w:rsidRPr="55946B79">
        <w:rPr>
          <w:rFonts w:ascii="Arial" w:hAnsi="Arial" w:cs="Arial"/>
        </w:rPr>
        <w:t xml:space="preserve"> as part of their usual collections activities.  </w:t>
      </w:r>
      <w:r w:rsidR="006E55A7" w:rsidRPr="55946B79">
        <w:rPr>
          <w:rFonts w:ascii="Arial" w:hAnsi="Arial" w:cs="Arial"/>
        </w:rPr>
        <w:t xml:space="preserve">In some cases another member of archive staff may undertake basic appraisal under the supervision of </w:t>
      </w:r>
      <w:r w:rsidR="003F4DE6" w:rsidRPr="55946B79">
        <w:rPr>
          <w:rFonts w:ascii="Arial" w:hAnsi="Arial" w:cs="Arial"/>
        </w:rPr>
        <w:t xml:space="preserve">an archivist. </w:t>
      </w:r>
      <w:r w:rsidRPr="55946B79">
        <w:rPr>
          <w:rFonts w:ascii="Arial" w:hAnsi="Arial" w:cs="Arial"/>
        </w:rPr>
        <w:t xml:space="preserve">  </w:t>
      </w:r>
    </w:p>
    <w:p w14:paraId="7EB96C11" w14:textId="1882992F" w:rsidR="2F7423B6" w:rsidRDefault="2F7423B6" w:rsidP="007E0731">
      <w:pPr>
        <w:rPr>
          <w:rFonts w:ascii="Arial" w:hAnsi="Arial" w:cs="Arial"/>
        </w:rPr>
      </w:pPr>
    </w:p>
    <w:p w14:paraId="07CEFBD3" w14:textId="22016EC1" w:rsidR="00586163" w:rsidRPr="001A1B6A" w:rsidRDefault="00586163" w:rsidP="001A1B6A">
      <w:pPr>
        <w:pStyle w:val="Heading1"/>
        <w:rPr>
          <w:rFonts w:ascii="Arial" w:hAnsi="Arial" w:cs="Arial"/>
          <w:b/>
          <w:bCs/>
          <w:color w:val="auto"/>
          <w:sz w:val="28"/>
          <w:szCs w:val="28"/>
        </w:rPr>
      </w:pPr>
      <w:bookmarkStart w:id="6" w:name="_Toc102632603"/>
      <w:r w:rsidRPr="3E2F0766">
        <w:rPr>
          <w:rFonts w:ascii="Arial" w:hAnsi="Arial" w:cs="Arial"/>
          <w:b/>
          <w:bCs/>
          <w:color w:val="auto"/>
          <w:sz w:val="28"/>
          <w:szCs w:val="28"/>
        </w:rPr>
        <w:t>Disposal of material</w:t>
      </w:r>
      <w:bookmarkEnd w:id="6"/>
      <w:r w:rsidRPr="3E2F0766">
        <w:rPr>
          <w:rFonts w:ascii="Arial" w:hAnsi="Arial" w:cs="Arial"/>
          <w:b/>
          <w:bCs/>
          <w:color w:val="auto"/>
          <w:sz w:val="28"/>
          <w:szCs w:val="28"/>
        </w:rPr>
        <w:t xml:space="preserve"> </w:t>
      </w:r>
    </w:p>
    <w:p w14:paraId="01900F11" w14:textId="77777777" w:rsidR="00586163" w:rsidRDefault="00586163" w:rsidP="001A1B6A">
      <w:pPr>
        <w:rPr>
          <w:rFonts w:ascii="Arial" w:hAnsi="Arial" w:cs="Arial"/>
        </w:rPr>
      </w:pPr>
    </w:p>
    <w:p w14:paraId="6770D1AA" w14:textId="56B9419B" w:rsidR="008A304B" w:rsidRPr="0017651A" w:rsidRDefault="008A304B" w:rsidP="008A304B">
      <w:pPr>
        <w:rPr>
          <w:rFonts w:ascii="Arial" w:hAnsi="Arial" w:cs="Arial"/>
        </w:rPr>
      </w:pPr>
      <w:r w:rsidRPr="55946B79">
        <w:rPr>
          <w:rFonts w:ascii="Arial" w:hAnsi="Arial" w:cs="Arial"/>
        </w:rPr>
        <w:t xml:space="preserve">Only those records which have enduring </w:t>
      </w:r>
      <w:r w:rsidR="00A9395A">
        <w:rPr>
          <w:rFonts w:ascii="Arial" w:hAnsi="Arial" w:cs="Arial"/>
        </w:rPr>
        <w:t>evidential or historical</w:t>
      </w:r>
      <w:r w:rsidR="00A9395A" w:rsidRPr="55946B79">
        <w:rPr>
          <w:rFonts w:ascii="Arial" w:hAnsi="Arial" w:cs="Arial"/>
        </w:rPr>
        <w:t xml:space="preserve"> </w:t>
      </w:r>
      <w:r w:rsidRPr="55946B79">
        <w:rPr>
          <w:rFonts w:ascii="Arial" w:hAnsi="Arial" w:cs="Arial"/>
        </w:rPr>
        <w:t xml:space="preserve">value will be selected for permanent preservation. Those that do not meet the appraisal criteria will be disposed of in accordance with the Terms of Acquisition, either by returning to the depositor, transfer to a more appropriate place or secure disposal. </w:t>
      </w:r>
    </w:p>
    <w:p w14:paraId="6E284E4E" w14:textId="77777777" w:rsidR="008A304B" w:rsidRPr="0017651A" w:rsidRDefault="008A304B" w:rsidP="008A304B">
      <w:pPr>
        <w:rPr>
          <w:rFonts w:ascii="Arial" w:hAnsi="Arial" w:cs="Arial"/>
        </w:rPr>
      </w:pPr>
      <w:r w:rsidRPr="3E2F0766">
        <w:rPr>
          <w:rFonts w:ascii="Arial" w:hAnsi="Arial" w:cs="Arial"/>
        </w:rPr>
        <w:t xml:space="preserve"> </w:t>
      </w:r>
    </w:p>
    <w:p w14:paraId="4B3292E8" w14:textId="236FE074" w:rsidR="20FE3870" w:rsidRPr="000553A4" w:rsidRDefault="19459297" w:rsidP="00D56B24">
      <w:pPr>
        <w:pStyle w:val="Heading1"/>
        <w:rPr>
          <w:rFonts w:ascii="Arial" w:hAnsi="Arial" w:cs="Arial"/>
          <w:b/>
          <w:bCs/>
          <w:color w:val="auto"/>
          <w:sz w:val="28"/>
          <w:szCs w:val="28"/>
        </w:rPr>
      </w:pPr>
      <w:bookmarkStart w:id="7" w:name="_Toc102632604"/>
      <w:r w:rsidRPr="3E2F0766">
        <w:rPr>
          <w:rFonts w:ascii="Arial" w:hAnsi="Arial" w:cs="Arial"/>
          <w:b/>
          <w:bCs/>
          <w:color w:val="auto"/>
          <w:sz w:val="28"/>
          <w:szCs w:val="28"/>
        </w:rPr>
        <w:t xml:space="preserve">Related </w:t>
      </w:r>
      <w:r w:rsidR="47B63A3C" w:rsidRPr="3E2F0766">
        <w:rPr>
          <w:rFonts w:ascii="Arial" w:hAnsi="Arial" w:cs="Arial"/>
          <w:b/>
          <w:bCs/>
          <w:color w:val="auto"/>
          <w:sz w:val="28"/>
          <w:szCs w:val="28"/>
        </w:rPr>
        <w:t>P</w:t>
      </w:r>
      <w:r w:rsidRPr="3E2F0766">
        <w:rPr>
          <w:rFonts w:ascii="Arial" w:hAnsi="Arial" w:cs="Arial"/>
          <w:b/>
          <w:bCs/>
          <w:color w:val="auto"/>
          <w:sz w:val="28"/>
          <w:szCs w:val="28"/>
        </w:rPr>
        <w:t>olicie</w:t>
      </w:r>
      <w:r w:rsidR="4726E7E4" w:rsidRPr="3E2F0766">
        <w:rPr>
          <w:rFonts w:ascii="Arial" w:hAnsi="Arial" w:cs="Arial"/>
          <w:b/>
          <w:bCs/>
          <w:color w:val="auto"/>
          <w:sz w:val="28"/>
          <w:szCs w:val="28"/>
        </w:rPr>
        <w:t>s</w:t>
      </w:r>
      <w:bookmarkEnd w:id="7"/>
    </w:p>
    <w:p w14:paraId="4E399077" w14:textId="7EC73F17" w:rsidR="2F7423B6" w:rsidRDefault="2F7423B6" w:rsidP="007E0731">
      <w:pPr>
        <w:rPr>
          <w:rFonts w:ascii="Arial" w:hAnsi="Arial" w:cs="Arial"/>
        </w:rPr>
      </w:pPr>
    </w:p>
    <w:p w14:paraId="3FBC1FD0" w14:textId="21B6D7AA" w:rsidR="4726E7E4" w:rsidRDefault="1A35C25B" w:rsidP="007E0731">
      <w:pPr>
        <w:rPr>
          <w:rFonts w:ascii="Arial" w:eastAsia="Arial" w:hAnsi="Arial" w:cs="Arial"/>
        </w:rPr>
      </w:pPr>
      <w:r w:rsidRPr="3AA34963">
        <w:rPr>
          <w:rFonts w:ascii="Arial" w:hAnsi="Arial" w:cs="Arial"/>
        </w:rPr>
        <w:t>The Appraisal Policy should be read in conjunction with the</w:t>
      </w:r>
      <w:r w:rsidR="004F6565">
        <w:rPr>
          <w:rFonts w:ascii="Arial" w:hAnsi="Arial" w:cs="Arial"/>
        </w:rPr>
        <w:t xml:space="preserve"> following </w:t>
      </w:r>
      <w:hyperlink r:id="rId12" w:history="1">
        <w:r w:rsidR="004F6565" w:rsidRPr="004F6565">
          <w:rPr>
            <w:rStyle w:val="Hyperlink"/>
            <w:rFonts w:ascii="Arial" w:hAnsi="Arial" w:cs="Arial"/>
          </w:rPr>
          <w:t>poli</w:t>
        </w:r>
        <w:r w:rsidR="004F6565" w:rsidRPr="004F6565">
          <w:rPr>
            <w:rStyle w:val="Hyperlink"/>
            <w:rFonts w:ascii="Arial" w:hAnsi="Arial" w:cs="Arial"/>
          </w:rPr>
          <w:t>c</w:t>
        </w:r>
        <w:r w:rsidR="004F6565" w:rsidRPr="004F6565">
          <w:rPr>
            <w:rStyle w:val="Hyperlink"/>
            <w:rFonts w:ascii="Arial" w:hAnsi="Arial" w:cs="Arial"/>
          </w:rPr>
          <w:t>ies</w:t>
        </w:r>
        <w:r w:rsidRPr="004F6565">
          <w:rPr>
            <w:rStyle w:val="Hyperlink"/>
            <w:rFonts w:ascii="Arial" w:hAnsi="Arial" w:cs="Arial"/>
          </w:rPr>
          <w:t>:</w:t>
        </w:r>
      </w:hyperlink>
    </w:p>
    <w:p w14:paraId="4F93BE8E" w14:textId="4B5E3D57" w:rsidR="4726E7E4" w:rsidRDefault="4726E7E4" w:rsidP="007E0731">
      <w:pPr>
        <w:rPr>
          <w:rFonts w:ascii="Arial" w:hAnsi="Arial" w:cs="Arial"/>
        </w:rPr>
      </w:pPr>
    </w:p>
    <w:p w14:paraId="4F876FA5" w14:textId="31EE60FF" w:rsidR="4726E7E4" w:rsidRDefault="4726E7E4" w:rsidP="0014440D">
      <w:pPr>
        <w:pStyle w:val="ListParagraph"/>
        <w:numPr>
          <w:ilvl w:val="0"/>
          <w:numId w:val="4"/>
        </w:numPr>
        <w:rPr>
          <w:rFonts w:ascii="Calibri" w:eastAsia="Calibri" w:hAnsi="Calibri" w:cs="Calibri"/>
        </w:rPr>
      </w:pPr>
      <w:r w:rsidRPr="004F6565">
        <w:rPr>
          <w:rFonts w:ascii="Arial" w:hAnsi="Arial" w:cs="Arial"/>
        </w:rPr>
        <w:t>Archive Collections Polic</w:t>
      </w:r>
      <w:r w:rsidR="00AF5D40" w:rsidRPr="004F6565">
        <w:rPr>
          <w:rFonts w:ascii="Arial" w:hAnsi="Arial" w:cs="Arial"/>
        </w:rPr>
        <w:t>y</w:t>
      </w:r>
      <w:r w:rsidR="0014440D">
        <w:rPr>
          <w:rFonts w:ascii="Arial" w:hAnsi="Arial" w:cs="Arial"/>
        </w:rPr>
        <w:t xml:space="preserve"> </w:t>
      </w:r>
    </w:p>
    <w:p w14:paraId="4267E61B" w14:textId="62CD41B7" w:rsidR="503ADD4F" w:rsidRPr="001C155C" w:rsidRDefault="503ADD4F" w:rsidP="0014440D">
      <w:pPr>
        <w:pStyle w:val="ListParagraph"/>
        <w:numPr>
          <w:ilvl w:val="0"/>
          <w:numId w:val="4"/>
        </w:numPr>
        <w:rPr>
          <w:rFonts w:ascii="Arial" w:eastAsia="Arial" w:hAnsi="Arial" w:cs="Arial"/>
        </w:rPr>
      </w:pPr>
      <w:r w:rsidRPr="004F6565">
        <w:rPr>
          <w:rFonts w:ascii="Arial" w:eastAsia="Arial" w:hAnsi="Arial" w:cs="Arial"/>
        </w:rPr>
        <w:t>Digital Preservation</w:t>
      </w:r>
      <w:r w:rsidR="0014440D" w:rsidRPr="004F6565">
        <w:rPr>
          <w:rFonts w:ascii="Arial" w:eastAsia="Arial" w:hAnsi="Arial" w:cs="Arial"/>
        </w:rPr>
        <w:t xml:space="preserve"> Policy</w:t>
      </w:r>
      <w:r w:rsidR="0014440D" w:rsidRPr="001C155C">
        <w:rPr>
          <w:rFonts w:ascii="Arial" w:eastAsia="Arial" w:hAnsi="Arial" w:cs="Arial"/>
        </w:rPr>
        <w:t xml:space="preserve"> </w:t>
      </w:r>
    </w:p>
    <w:p w14:paraId="58B78482" w14:textId="221290AE" w:rsidR="2F7423B6" w:rsidRPr="004F6565" w:rsidRDefault="503ADD4F" w:rsidP="007E0731">
      <w:pPr>
        <w:pStyle w:val="ListParagraph"/>
        <w:numPr>
          <w:ilvl w:val="0"/>
          <w:numId w:val="4"/>
        </w:numPr>
        <w:rPr>
          <w:rFonts w:ascii="Arial" w:hAnsi="Arial" w:cs="Arial"/>
        </w:rPr>
      </w:pPr>
      <w:r w:rsidRPr="004F6565">
        <w:rPr>
          <w:rFonts w:ascii="Arial" w:hAnsi="Arial" w:cs="Arial"/>
        </w:rPr>
        <w:t>Library Collecting Policy</w:t>
      </w:r>
      <w:r w:rsidR="005B7721" w:rsidRPr="004F6565">
        <w:rPr>
          <w:rFonts w:ascii="Arial" w:hAnsi="Arial" w:cs="Arial"/>
        </w:rPr>
        <w:t xml:space="preserve"> </w:t>
      </w:r>
      <w:r w:rsidRPr="004F6565">
        <w:rPr>
          <w:rFonts w:ascii="Arial" w:hAnsi="Arial" w:cs="Arial"/>
        </w:rPr>
        <w:t xml:space="preserve"> </w:t>
      </w:r>
    </w:p>
    <w:p w14:paraId="32896998" w14:textId="5CA787D3" w:rsidR="2F7423B6" w:rsidRDefault="2F7423B6" w:rsidP="007E0731">
      <w:pPr>
        <w:rPr>
          <w:rFonts w:ascii="Arial" w:hAnsi="Arial" w:cs="Arial"/>
        </w:rPr>
      </w:pPr>
    </w:p>
    <w:p w14:paraId="4698AF47" w14:textId="62BB8919" w:rsidR="00DE22FB" w:rsidRPr="00DE22FB" w:rsidRDefault="00DE22FB" w:rsidP="00DE22FB">
      <w:pPr>
        <w:pStyle w:val="Heading1"/>
        <w:rPr>
          <w:rFonts w:ascii="Arial" w:eastAsia="Arial" w:hAnsi="Arial" w:cs="Arial"/>
          <w:b/>
          <w:bCs/>
          <w:color w:val="auto"/>
        </w:rPr>
      </w:pPr>
      <w:bookmarkStart w:id="8" w:name="_Toc102632605"/>
      <w:r w:rsidRPr="00DE22FB">
        <w:rPr>
          <w:rFonts w:ascii="Arial" w:eastAsia="Arial" w:hAnsi="Arial" w:cs="Arial"/>
          <w:b/>
          <w:bCs/>
          <w:color w:val="auto"/>
        </w:rPr>
        <w:t>Review</w:t>
      </w:r>
      <w:bookmarkEnd w:id="8"/>
    </w:p>
    <w:p w14:paraId="242202B4" w14:textId="77777777" w:rsidR="00DE22FB" w:rsidRDefault="00DE22FB" w:rsidP="00A90FD7">
      <w:pPr>
        <w:jc w:val="both"/>
        <w:rPr>
          <w:rFonts w:ascii="Arial" w:eastAsia="Arial" w:hAnsi="Arial" w:cs="Arial"/>
          <w:b/>
          <w:bCs/>
        </w:rPr>
      </w:pPr>
    </w:p>
    <w:p w14:paraId="3284F4F7" w14:textId="31758404" w:rsidR="00F83FB1" w:rsidRPr="00DE22FB" w:rsidRDefault="6A9EBEE1" w:rsidP="00A90FD7">
      <w:pPr>
        <w:jc w:val="both"/>
        <w:rPr>
          <w:rFonts w:ascii="Arial" w:eastAsia="Arial" w:hAnsi="Arial" w:cs="Arial"/>
        </w:rPr>
      </w:pPr>
      <w:r w:rsidRPr="00DE22FB">
        <w:rPr>
          <w:rFonts w:ascii="Arial" w:eastAsia="Arial" w:hAnsi="Arial" w:cs="Arial"/>
        </w:rPr>
        <w:t xml:space="preserve">This policy was approved by Gwent Archives Joint Committee in </w:t>
      </w:r>
      <w:r w:rsidR="007475E8">
        <w:rPr>
          <w:rFonts w:ascii="Arial" w:eastAsia="Arial" w:hAnsi="Arial" w:cs="Arial"/>
        </w:rPr>
        <w:t>June 2025</w:t>
      </w:r>
      <w:r w:rsidRPr="00DE22FB">
        <w:rPr>
          <w:rFonts w:ascii="Arial" w:eastAsia="Arial" w:hAnsi="Arial" w:cs="Arial"/>
        </w:rPr>
        <w:t xml:space="preserve">.  It will be reviewed in </w:t>
      </w:r>
      <w:r w:rsidR="007475E8">
        <w:rPr>
          <w:rFonts w:ascii="Arial" w:eastAsia="Arial" w:hAnsi="Arial" w:cs="Arial"/>
        </w:rPr>
        <w:t>June 2028</w:t>
      </w:r>
      <w:r w:rsidRPr="00DE22FB">
        <w:rPr>
          <w:rFonts w:ascii="Arial" w:eastAsia="Arial" w:hAnsi="Arial" w:cs="Arial"/>
        </w:rPr>
        <w:t xml:space="preserve"> or sooner if circumstances dictate.</w:t>
      </w:r>
    </w:p>
    <w:p w14:paraId="1C3D089A" w14:textId="2C39319A" w:rsidR="00F83FB1" w:rsidRPr="00CA3DED" w:rsidRDefault="00F83FB1" w:rsidP="00A90FD7">
      <w:pPr>
        <w:jc w:val="both"/>
        <w:rPr>
          <w:rFonts w:ascii="Arial" w:hAnsi="Arial" w:cs="Arial"/>
          <w:b/>
          <w:bCs/>
        </w:rPr>
      </w:pPr>
    </w:p>
    <w:sectPr w:rsidR="00F83FB1" w:rsidRPr="00CA3DED" w:rsidSect="007C3F07">
      <w:headerReference w:type="default" r:id="rId13"/>
      <w:footerReference w:type="default" r:id="rId14"/>
      <w:headerReference w:type="first" r:id="rId15"/>
      <w:footerReference w:type="first" r:id="rId16"/>
      <w:pgSz w:w="11906" w:h="16838"/>
      <w:pgMar w:top="1361" w:right="1440" w:bottom="1361"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B2664" w14:textId="77777777" w:rsidR="00E460B8" w:rsidRDefault="00E460B8">
      <w:r>
        <w:separator/>
      </w:r>
    </w:p>
  </w:endnote>
  <w:endnote w:type="continuationSeparator" w:id="0">
    <w:p w14:paraId="2663FB90" w14:textId="77777777" w:rsidR="00E460B8" w:rsidRDefault="00E460B8">
      <w:r>
        <w:continuationSeparator/>
      </w:r>
    </w:p>
  </w:endnote>
  <w:endnote w:type="continuationNotice" w:id="1">
    <w:p w14:paraId="4A08B1C0" w14:textId="77777777" w:rsidR="00E460B8" w:rsidRDefault="00E46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289493"/>
      <w:docPartObj>
        <w:docPartGallery w:val="Page Numbers (Bottom of Page)"/>
        <w:docPartUnique/>
      </w:docPartObj>
    </w:sdtPr>
    <w:sdtEndPr>
      <w:rPr>
        <w:noProof/>
      </w:rPr>
    </w:sdtEndPr>
    <w:sdtContent>
      <w:p w14:paraId="397DD186" w14:textId="4E9E3934" w:rsidR="007C3F07" w:rsidRDefault="007C3F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5696D" w14:textId="3F72F70B" w:rsidR="0017651A" w:rsidRPr="00C318AF" w:rsidRDefault="0017651A" w:rsidP="007C3F07">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45687342"/>
      <w:docPartObj>
        <w:docPartGallery w:val="Page Numbers (Bottom of Page)"/>
        <w:docPartUnique/>
      </w:docPartObj>
    </w:sdtPr>
    <w:sdtEndPr>
      <w:rPr>
        <w:noProof/>
      </w:rPr>
    </w:sdtEndPr>
    <w:sdtContent>
      <w:p w14:paraId="34E50DD3" w14:textId="69370410" w:rsidR="00BD658A" w:rsidRPr="00BD658A" w:rsidRDefault="00BD658A">
        <w:pPr>
          <w:pStyle w:val="Footer"/>
          <w:jc w:val="center"/>
          <w:rPr>
            <w:rFonts w:ascii="Arial" w:hAnsi="Arial" w:cs="Arial"/>
          </w:rPr>
        </w:pPr>
        <w:r w:rsidRPr="00BD658A">
          <w:rPr>
            <w:rFonts w:ascii="Arial" w:hAnsi="Arial" w:cs="Arial"/>
          </w:rPr>
          <w:fldChar w:fldCharType="begin"/>
        </w:r>
        <w:r w:rsidRPr="00BD658A">
          <w:rPr>
            <w:rFonts w:ascii="Arial" w:hAnsi="Arial" w:cs="Arial"/>
          </w:rPr>
          <w:instrText xml:space="preserve"> PAGE   \* MERGEFORMAT </w:instrText>
        </w:r>
        <w:r w:rsidRPr="00BD658A">
          <w:rPr>
            <w:rFonts w:ascii="Arial" w:hAnsi="Arial" w:cs="Arial"/>
          </w:rPr>
          <w:fldChar w:fldCharType="separate"/>
        </w:r>
        <w:r w:rsidRPr="00BD658A">
          <w:rPr>
            <w:rFonts w:ascii="Arial" w:hAnsi="Arial" w:cs="Arial"/>
            <w:noProof/>
          </w:rPr>
          <w:t>2</w:t>
        </w:r>
        <w:r w:rsidRPr="00BD658A">
          <w:rPr>
            <w:rFonts w:ascii="Arial" w:hAnsi="Arial" w:cs="Arial"/>
            <w:noProof/>
          </w:rPr>
          <w:fldChar w:fldCharType="end"/>
        </w:r>
      </w:p>
    </w:sdtContent>
  </w:sdt>
  <w:p w14:paraId="2881E980" w14:textId="3BD29384" w:rsidR="29C53C8B" w:rsidRPr="00BD658A" w:rsidRDefault="29C53C8B" w:rsidP="29C53C8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9735E" w14:textId="77777777" w:rsidR="00E460B8" w:rsidRDefault="00E460B8">
      <w:r>
        <w:separator/>
      </w:r>
    </w:p>
  </w:footnote>
  <w:footnote w:type="continuationSeparator" w:id="0">
    <w:p w14:paraId="370CD67B" w14:textId="77777777" w:rsidR="00E460B8" w:rsidRDefault="00E460B8">
      <w:r>
        <w:continuationSeparator/>
      </w:r>
    </w:p>
  </w:footnote>
  <w:footnote w:type="continuationNotice" w:id="1">
    <w:p w14:paraId="73E1BB25" w14:textId="77777777" w:rsidR="00E460B8" w:rsidRDefault="00E46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6081630" w14:paraId="06F175FF" w14:textId="77777777" w:rsidTr="46081630">
      <w:tc>
        <w:tcPr>
          <w:tcW w:w="3005" w:type="dxa"/>
        </w:tcPr>
        <w:p w14:paraId="70277A3E" w14:textId="3A0D759A" w:rsidR="46081630" w:rsidRDefault="46081630" w:rsidP="46081630">
          <w:pPr>
            <w:pStyle w:val="Header"/>
            <w:ind w:left="-115"/>
          </w:pPr>
        </w:p>
      </w:tc>
      <w:tc>
        <w:tcPr>
          <w:tcW w:w="3005" w:type="dxa"/>
        </w:tcPr>
        <w:p w14:paraId="7A534875" w14:textId="23E86B47" w:rsidR="46081630" w:rsidRDefault="46081630" w:rsidP="46081630">
          <w:pPr>
            <w:pStyle w:val="Header"/>
            <w:jc w:val="center"/>
          </w:pPr>
        </w:p>
      </w:tc>
      <w:tc>
        <w:tcPr>
          <w:tcW w:w="3005" w:type="dxa"/>
        </w:tcPr>
        <w:p w14:paraId="3AEEAD53" w14:textId="5A7C0CA1" w:rsidR="46081630" w:rsidRDefault="46081630" w:rsidP="46081630">
          <w:pPr>
            <w:pStyle w:val="Header"/>
            <w:ind w:right="-115"/>
            <w:jc w:val="right"/>
          </w:pPr>
        </w:p>
      </w:tc>
    </w:tr>
  </w:tbl>
  <w:p w14:paraId="6815DBC4" w14:textId="6BE7BC2C" w:rsidR="46081630" w:rsidRDefault="007C3F07" w:rsidP="007C3F07">
    <w:pPr>
      <w:pStyle w:val="Header"/>
      <w:tabs>
        <w:tab w:val="clear" w:pos="4513"/>
        <w:tab w:val="clear" w:pos="9026"/>
        <w:tab w:val="center" w:pos="4158"/>
        <w:tab w:val="left" w:pos="4545"/>
      </w:tabs>
      <w:ind w:left="-709"/>
    </w:pP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F01D" w14:textId="3CA68338" w:rsidR="007C3F07" w:rsidRDefault="007F7D55" w:rsidP="007C3F07">
    <w:pPr>
      <w:pStyle w:val="Header"/>
      <w:tabs>
        <w:tab w:val="clear" w:pos="4513"/>
        <w:tab w:val="clear" w:pos="9026"/>
        <w:tab w:val="left" w:pos="6180"/>
      </w:tabs>
      <w:ind w:left="-284"/>
    </w:pPr>
    <w:r>
      <w:rPr>
        <w:rFonts w:ascii="Arial" w:hAnsi="Arial" w:cs="Arial"/>
        <w:noProof/>
        <w:color w:val="000000"/>
        <w:shd w:val="clear" w:color="auto" w:fill="FFFFFF"/>
      </w:rPr>
      <w:drawing>
        <wp:inline distT="0" distB="0" distL="0" distR="0" wp14:anchorId="5B04D2C9" wp14:editId="631741E2">
          <wp:extent cx="1612919" cy="923199"/>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5211" cy="935959"/>
                  </a:xfrm>
                  <a:prstGeom prst="rect">
                    <a:avLst/>
                  </a:prstGeom>
                </pic:spPr>
              </pic:pic>
            </a:graphicData>
          </a:graphic>
        </wp:inline>
      </w:drawing>
    </w:r>
    <w:r w:rsidR="007C3F07">
      <w:tab/>
      <w:t xml:space="preserve">                   </w:t>
    </w:r>
    <w:r w:rsidR="007C3F07" w:rsidRPr="00B55C89">
      <w:rPr>
        <w:rStyle w:val="normaltextrun"/>
        <w:rFonts w:ascii="Arial" w:hAnsi="Arial" w:cs="Arial"/>
        <w:noProof/>
        <w:color w:val="000000"/>
        <w:shd w:val="clear" w:color="auto" w:fill="FFFFFF"/>
      </w:rPr>
      <w:drawing>
        <wp:inline distT="0" distB="0" distL="0" distR="0" wp14:anchorId="1CFE160F" wp14:editId="5AA0ED41">
          <wp:extent cx="1062990" cy="1153196"/>
          <wp:effectExtent l="0" t="0" r="381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75004" cy="1166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319"/>
    <w:multiLevelType w:val="hybridMultilevel"/>
    <w:tmpl w:val="F3EEA6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15019"/>
    <w:multiLevelType w:val="hybridMultilevel"/>
    <w:tmpl w:val="E50A64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66F4F"/>
    <w:multiLevelType w:val="hybridMultilevel"/>
    <w:tmpl w:val="0D96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253CD"/>
    <w:multiLevelType w:val="hybridMultilevel"/>
    <w:tmpl w:val="0A2C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94D11"/>
    <w:multiLevelType w:val="hybridMultilevel"/>
    <w:tmpl w:val="849AA9A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AD3086"/>
    <w:multiLevelType w:val="hybridMultilevel"/>
    <w:tmpl w:val="85F81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26348"/>
    <w:multiLevelType w:val="hybridMultilevel"/>
    <w:tmpl w:val="0F72F89E"/>
    <w:lvl w:ilvl="0" w:tplc="75B4E154">
      <w:start w:val="1"/>
      <w:numFmt w:val="bullet"/>
      <w:lvlText w:val="-"/>
      <w:lvlJc w:val="left"/>
      <w:pPr>
        <w:ind w:left="720" w:hanging="360"/>
      </w:pPr>
      <w:rPr>
        <w:rFonts w:ascii="Calibri" w:hAnsi="Calibri" w:hint="default"/>
      </w:rPr>
    </w:lvl>
    <w:lvl w:ilvl="1" w:tplc="DF9E31CC">
      <w:start w:val="1"/>
      <w:numFmt w:val="bullet"/>
      <w:lvlText w:val="o"/>
      <w:lvlJc w:val="left"/>
      <w:pPr>
        <w:ind w:left="1440" w:hanging="360"/>
      </w:pPr>
      <w:rPr>
        <w:rFonts w:ascii="Courier New" w:hAnsi="Courier New" w:hint="default"/>
      </w:rPr>
    </w:lvl>
    <w:lvl w:ilvl="2" w:tplc="AB509CCE">
      <w:start w:val="1"/>
      <w:numFmt w:val="bullet"/>
      <w:lvlText w:val=""/>
      <w:lvlJc w:val="left"/>
      <w:pPr>
        <w:ind w:left="2160" w:hanging="360"/>
      </w:pPr>
      <w:rPr>
        <w:rFonts w:ascii="Wingdings" w:hAnsi="Wingdings" w:hint="default"/>
      </w:rPr>
    </w:lvl>
    <w:lvl w:ilvl="3" w:tplc="3B2449D2">
      <w:start w:val="1"/>
      <w:numFmt w:val="bullet"/>
      <w:lvlText w:val=""/>
      <w:lvlJc w:val="left"/>
      <w:pPr>
        <w:ind w:left="2880" w:hanging="360"/>
      </w:pPr>
      <w:rPr>
        <w:rFonts w:ascii="Symbol" w:hAnsi="Symbol" w:hint="default"/>
      </w:rPr>
    </w:lvl>
    <w:lvl w:ilvl="4" w:tplc="5308CEC6">
      <w:start w:val="1"/>
      <w:numFmt w:val="bullet"/>
      <w:lvlText w:val="o"/>
      <w:lvlJc w:val="left"/>
      <w:pPr>
        <w:ind w:left="3600" w:hanging="360"/>
      </w:pPr>
      <w:rPr>
        <w:rFonts w:ascii="Courier New" w:hAnsi="Courier New" w:hint="default"/>
      </w:rPr>
    </w:lvl>
    <w:lvl w:ilvl="5" w:tplc="FE989058">
      <w:start w:val="1"/>
      <w:numFmt w:val="bullet"/>
      <w:lvlText w:val=""/>
      <w:lvlJc w:val="left"/>
      <w:pPr>
        <w:ind w:left="4320" w:hanging="360"/>
      </w:pPr>
      <w:rPr>
        <w:rFonts w:ascii="Wingdings" w:hAnsi="Wingdings" w:hint="default"/>
      </w:rPr>
    </w:lvl>
    <w:lvl w:ilvl="6" w:tplc="24927146">
      <w:start w:val="1"/>
      <w:numFmt w:val="bullet"/>
      <w:lvlText w:val=""/>
      <w:lvlJc w:val="left"/>
      <w:pPr>
        <w:ind w:left="5040" w:hanging="360"/>
      </w:pPr>
      <w:rPr>
        <w:rFonts w:ascii="Symbol" w:hAnsi="Symbol" w:hint="default"/>
      </w:rPr>
    </w:lvl>
    <w:lvl w:ilvl="7" w:tplc="11A67582">
      <w:start w:val="1"/>
      <w:numFmt w:val="bullet"/>
      <w:lvlText w:val="o"/>
      <w:lvlJc w:val="left"/>
      <w:pPr>
        <w:ind w:left="5760" w:hanging="360"/>
      </w:pPr>
      <w:rPr>
        <w:rFonts w:ascii="Courier New" w:hAnsi="Courier New" w:hint="default"/>
      </w:rPr>
    </w:lvl>
    <w:lvl w:ilvl="8" w:tplc="6A0EF1E2">
      <w:start w:val="1"/>
      <w:numFmt w:val="bullet"/>
      <w:lvlText w:val=""/>
      <w:lvlJc w:val="left"/>
      <w:pPr>
        <w:ind w:left="6480" w:hanging="360"/>
      </w:pPr>
      <w:rPr>
        <w:rFonts w:ascii="Wingdings" w:hAnsi="Wingdings" w:hint="default"/>
      </w:rPr>
    </w:lvl>
  </w:abstractNum>
  <w:abstractNum w:abstractNumId="7" w15:restartNumberingAfterBreak="0">
    <w:nsid w:val="4EB07709"/>
    <w:multiLevelType w:val="hybridMultilevel"/>
    <w:tmpl w:val="926E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F473D"/>
    <w:multiLevelType w:val="hybridMultilevel"/>
    <w:tmpl w:val="73A8526C"/>
    <w:lvl w:ilvl="0" w:tplc="08090001">
      <w:start w:val="1"/>
      <w:numFmt w:val="bullet"/>
      <w:lvlText w:val=""/>
      <w:lvlJc w:val="left"/>
      <w:pPr>
        <w:ind w:left="720" w:hanging="360"/>
      </w:pPr>
      <w:rPr>
        <w:rFonts w:ascii="Symbol" w:hAnsi="Symbol" w:hint="default"/>
      </w:rPr>
    </w:lvl>
    <w:lvl w:ilvl="1" w:tplc="DF9E31CC">
      <w:start w:val="1"/>
      <w:numFmt w:val="bullet"/>
      <w:lvlText w:val="o"/>
      <w:lvlJc w:val="left"/>
      <w:pPr>
        <w:ind w:left="1440" w:hanging="360"/>
      </w:pPr>
      <w:rPr>
        <w:rFonts w:ascii="Courier New" w:hAnsi="Courier New" w:hint="default"/>
      </w:rPr>
    </w:lvl>
    <w:lvl w:ilvl="2" w:tplc="AB509CCE">
      <w:start w:val="1"/>
      <w:numFmt w:val="bullet"/>
      <w:lvlText w:val=""/>
      <w:lvlJc w:val="left"/>
      <w:pPr>
        <w:ind w:left="2160" w:hanging="360"/>
      </w:pPr>
      <w:rPr>
        <w:rFonts w:ascii="Wingdings" w:hAnsi="Wingdings" w:hint="default"/>
      </w:rPr>
    </w:lvl>
    <w:lvl w:ilvl="3" w:tplc="3B2449D2">
      <w:start w:val="1"/>
      <w:numFmt w:val="bullet"/>
      <w:lvlText w:val=""/>
      <w:lvlJc w:val="left"/>
      <w:pPr>
        <w:ind w:left="2880" w:hanging="360"/>
      </w:pPr>
      <w:rPr>
        <w:rFonts w:ascii="Symbol" w:hAnsi="Symbol" w:hint="default"/>
      </w:rPr>
    </w:lvl>
    <w:lvl w:ilvl="4" w:tplc="5308CEC6">
      <w:start w:val="1"/>
      <w:numFmt w:val="bullet"/>
      <w:lvlText w:val="o"/>
      <w:lvlJc w:val="left"/>
      <w:pPr>
        <w:ind w:left="3600" w:hanging="360"/>
      </w:pPr>
      <w:rPr>
        <w:rFonts w:ascii="Courier New" w:hAnsi="Courier New" w:hint="default"/>
      </w:rPr>
    </w:lvl>
    <w:lvl w:ilvl="5" w:tplc="FE989058">
      <w:start w:val="1"/>
      <w:numFmt w:val="bullet"/>
      <w:lvlText w:val=""/>
      <w:lvlJc w:val="left"/>
      <w:pPr>
        <w:ind w:left="4320" w:hanging="360"/>
      </w:pPr>
      <w:rPr>
        <w:rFonts w:ascii="Wingdings" w:hAnsi="Wingdings" w:hint="default"/>
      </w:rPr>
    </w:lvl>
    <w:lvl w:ilvl="6" w:tplc="24927146">
      <w:start w:val="1"/>
      <w:numFmt w:val="bullet"/>
      <w:lvlText w:val=""/>
      <w:lvlJc w:val="left"/>
      <w:pPr>
        <w:ind w:left="5040" w:hanging="360"/>
      </w:pPr>
      <w:rPr>
        <w:rFonts w:ascii="Symbol" w:hAnsi="Symbol" w:hint="default"/>
      </w:rPr>
    </w:lvl>
    <w:lvl w:ilvl="7" w:tplc="11A67582">
      <w:start w:val="1"/>
      <w:numFmt w:val="bullet"/>
      <w:lvlText w:val="o"/>
      <w:lvlJc w:val="left"/>
      <w:pPr>
        <w:ind w:left="5760" w:hanging="360"/>
      </w:pPr>
      <w:rPr>
        <w:rFonts w:ascii="Courier New" w:hAnsi="Courier New" w:hint="default"/>
      </w:rPr>
    </w:lvl>
    <w:lvl w:ilvl="8" w:tplc="6A0EF1E2">
      <w:start w:val="1"/>
      <w:numFmt w:val="bullet"/>
      <w:lvlText w:val=""/>
      <w:lvlJc w:val="left"/>
      <w:pPr>
        <w:ind w:left="6480" w:hanging="360"/>
      </w:pPr>
      <w:rPr>
        <w:rFonts w:ascii="Wingdings" w:hAnsi="Wingdings" w:hint="default"/>
      </w:rPr>
    </w:lvl>
  </w:abstractNum>
  <w:abstractNum w:abstractNumId="9" w15:restartNumberingAfterBreak="0">
    <w:nsid w:val="54B15005"/>
    <w:multiLevelType w:val="hybridMultilevel"/>
    <w:tmpl w:val="8A6A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56137B"/>
    <w:multiLevelType w:val="hybridMultilevel"/>
    <w:tmpl w:val="120003C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779834532">
    <w:abstractNumId w:val="6"/>
  </w:num>
  <w:num w:numId="2" w16cid:durableId="1028069553">
    <w:abstractNumId w:val="1"/>
  </w:num>
  <w:num w:numId="3" w16cid:durableId="1487353828">
    <w:abstractNumId w:val="5"/>
  </w:num>
  <w:num w:numId="4" w16cid:durableId="1693529621">
    <w:abstractNumId w:val="8"/>
  </w:num>
  <w:num w:numId="5" w16cid:durableId="1266767170">
    <w:abstractNumId w:val="7"/>
  </w:num>
  <w:num w:numId="6" w16cid:durableId="455292772">
    <w:abstractNumId w:val="10"/>
  </w:num>
  <w:num w:numId="7" w16cid:durableId="1972900939">
    <w:abstractNumId w:val="2"/>
  </w:num>
  <w:num w:numId="8" w16cid:durableId="1977879452">
    <w:abstractNumId w:val="3"/>
  </w:num>
  <w:num w:numId="9" w16cid:durableId="615059875">
    <w:abstractNumId w:val="0"/>
  </w:num>
  <w:num w:numId="10" w16cid:durableId="1410225277">
    <w:abstractNumId w:val="9"/>
  </w:num>
  <w:num w:numId="11" w16cid:durableId="1816951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74"/>
    <w:rsid w:val="00001118"/>
    <w:rsid w:val="00024513"/>
    <w:rsid w:val="000446F6"/>
    <w:rsid w:val="00050574"/>
    <w:rsid w:val="000553A4"/>
    <w:rsid w:val="00062374"/>
    <w:rsid w:val="00066E61"/>
    <w:rsid w:val="000707F5"/>
    <w:rsid w:val="00080243"/>
    <w:rsid w:val="000C4B67"/>
    <w:rsid w:val="00100AEB"/>
    <w:rsid w:val="001059F1"/>
    <w:rsid w:val="0012167E"/>
    <w:rsid w:val="0013704F"/>
    <w:rsid w:val="0014440D"/>
    <w:rsid w:val="001703F0"/>
    <w:rsid w:val="00172709"/>
    <w:rsid w:val="0017651A"/>
    <w:rsid w:val="0018070E"/>
    <w:rsid w:val="001848B3"/>
    <w:rsid w:val="001A1B6A"/>
    <w:rsid w:val="001A62B1"/>
    <w:rsid w:val="001C155C"/>
    <w:rsid w:val="001D192F"/>
    <w:rsid w:val="00212F22"/>
    <w:rsid w:val="0024301B"/>
    <w:rsid w:val="002434AD"/>
    <w:rsid w:val="00260B5A"/>
    <w:rsid w:val="00267FD5"/>
    <w:rsid w:val="0028109E"/>
    <w:rsid w:val="0029619D"/>
    <w:rsid w:val="002A5883"/>
    <w:rsid w:val="002D5D6E"/>
    <w:rsid w:val="002E33D3"/>
    <w:rsid w:val="002F1054"/>
    <w:rsid w:val="00302E34"/>
    <w:rsid w:val="00303F86"/>
    <w:rsid w:val="003237D4"/>
    <w:rsid w:val="00324566"/>
    <w:rsid w:val="0036706B"/>
    <w:rsid w:val="003D141F"/>
    <w:rsid w:val="003D7EEF"/>
    <w:rsid w:val="003E09B7"/>
    <w:rsid w:val="003F4DE6"/>
    <w:rsid w:val="0042159B"/>
    <w:rsid w:val="004331FC"/>
    <w:rsid w:val="00433650"/>
    <w:rsid w:val="00444F81"/>
    <w:rsid w:val="0048283E"/>
    <w:rsid w:val="004860CC"/>
    <w:rsid w:val="004A6DAF"/>
    <w:rsid w:val="004B7F21"/>
    <w:rsid w:val="004BD187"/>
    <w:rsid w:val="004C2467"/>
    <w:rsid w:val="004C2E6E"/>
    <w:rsid w:val="004F6565"/>
    <w:rsid w:val="004F762D"/>
    <w:rsid w:val="00502592"/>
    <w:rsid w:val="005145E9"/>
    <w:rsid w:val="00517E4F"/>
    <w:rsid w:val="0058276B"/>
    <w:rsid w:val="005859C3"/>
    <w:rsid w:val="00586163"/>
    <w:rsid w:val="005B3A13"/>
    <w:rsid w:val="005B7721"/>
    <w:rsid w:val="005C242D"/>
    <w:rsid w:val="005E4D5B"/>
    <w:rsid w:val="005F4AF4"/>
    <w:rsid w:val="00607C3D"/>
    <w:rsid w:val="006153E3"/>
    <w:rsid w:val="006209FA"/>
    <w:rsid w:val="006371F0"/>
    <w:rsid w:val="0064520F"/>
    <w:rsid w:val="006470ED"/>
    <w:rsid w:val="00661ADA"/>
    <w:rsid w:val="00665172"/>
    <w:rsid w:val="00674573"/>
    <w:rsid w:val="00674EF7"/>
    <w:rsid w:val="00696CA8"/>
    <w:rsid w:val="006C2640"/>
    <w:rsid w:val="006C5115"/>
    <w:rsid w:val="006C65B8"/>
    <w:rsid w:val="006D05D1"/>
    <w:rsid w:val="006E3E65"/>
    <w:rsid w:val="006E55A7"/>
    <w:rsid w:val="006E79D4"/>
    <w:rsid w:val="006F31C5"/>
    <w:rsid w:val="007121A6"/>
    <w:rsid w:val="007256CC"/>
    <w:rsid w:val="007475E8"/>
    <w:rsid w:val="007637D4"/>
    <w:rsid w:val="00784BB4"/>
    <w:rsid w:val="00786516"/>
    <w:rsid w:val="0079545C"/>
    <w:rsid w:val="007A0618"/>
    <w:rsid w:val="007A3790"/>
    <w:rsid w:val="007B6BCD"/>
    <w:rsid w:val="007C3F07"/>
    <w:rsid w:val="007D0671"/>
    <w:rsid w:val="007E03FC"/>
    <w:rsid w:val="007E0731"/>
    <w:rsid w:val="007F7D55"/>
    <w:rsid w:val="00801B56"/>
    <w:rsid w:val="008020C6"/>
    <w:rsid w:val="0080428B"/>
    <w:rsid w:val="00805B6D"/>
    <w:rsid w:val="00825A99"/>
    <w:rsid w:val="008263AB"/>
    <w:rsid w:val="00837ADF"/>
    <w:rsid w:val="00847922"/>
    <w:rsid w:val="008670EC"/>
    <w:rsid w:val="00873F03"/>
    <w:rsid w:val="0088218D"/>
    <w:rsid w:val="008A304B"/>
    <w:rsid w:val="008A7367"/>
    <w:rsid w:val="008B24D2"/>
    <w:rsid w:val="008B487B"/>
    <w:rsid w:val="008B7452"/>
    <w:rsid w:val="008E0171"/>
    <w:rsid w:val="008E4FC4"/>
    <w:rsid w:val="00926F3C"/>
    <w:rsid w:val="00945AEB"/>
    <w:rsid w:val="009571AC"/>
    <w:rsid w:val="00963355"/>
    <w:rsid w:val="00965C1F"/>
    <w:rsid w:val="0098179B"/>
    <w:rsid w:val="009935CE"/>
    <w:rsid w:val="009A4ED9"/>
    <w:rsid w:val="009B56E1"/>
    <w:rsid w:val="009C3555"/>
    <w:rsid w:val="009C4B65"/>
    <w:rsid w:val="009E0B1D"/>
    <w:rsid w:val="009E50C1"/>
    <w:rsid w:val="009E5A55"/>
    <w:rsid w:val="009F4A54"/>
    <w:rsid w:val="009F7D6F"/>
    <w:rsid w:val="00A0467D"/>
    <w:rsid w:val="00A0558B"/>
    <w:rsid w:val="00A444CE"/>
    <w:rsid w:val="00A7161C"/>
    <w:rsid w:val="00A77037"/>
    <w:rsid w:val="00A90FD7"/>
    <w:rsid w:val="00A9395A"/>
    <w:rsid w:val="00AB5730"/>
    <w:rsid w:val="00AD702C"/>
    <w:rsid w:val="00AE5695"/>
    <w:rsid w:val="00AF1ECE"/>
    <w:rsid w:val="00AF5D40"/>
    <w:rsid w:val="00AF5E87"/>
    <w:rsid w:val="00B2470E"/>
    <w:rsid w:val="00B37CAF"/>
    <w:rsid w:val="00B56994"/>
    <w:rsid w:val="00B62373"/>
    <w:rsid w:val="00B672D2"/>
    <w:rsid w:val="00BA68F9"/>
    <w:rsid w:val="00BC531E"/>
    <w:rsid w:val="00BD3F02"/>
    <w:rsid w:val="00BD44C9"/>
    <w:rsid w:val="00BD658A"/>
    <w:rsid w:val="00BF1E45"/>
    <w:rsid w:val="00C235DD"/>
    <w:rsid w:val="00C2780E"/>
    <w:rsid w:val="00C318AF"/>
    <w:rsid w:val="00C44E17"/>
    <w:rsid w:val="00C61343"/>
    <w:rsid w:val="00CA3DED"/>
    <w:rsid w:val="00CE5396"/>
    <w:rsid w:val="00CF0271"/>
    <w:rsid w:val="00CF2D56"/>
    <w:rsid w:val="00D02797"/>
    <w:rsid w:val="00D02D25"/>
    <w:rsid w:val="00D145A6"/>
    <w:rsid w:val="00D41299"/>
    <w:rsid w:val="00D4479D"/>
    <w:rsid w:val="00D50877"/>
    <w:rsid w:val="00D523CC"/>
    <w:rsid w:val="00D56B24"/>
    <w:rsid w:val="00D61FDD"/>
    <w:rsid w:val="00D75E1B"/>
    <w:rsid w:val="00D91758"/>
    <w:rsid w:val="00DA0013"/>
    <w:rsid w:val="00DA59B2"/>
    <w:rsid w:val="00DB2710"/>
    <w:rsid w:val="00DC0365"/>
    <w:rsid w:val="00DE22FB"/>
    <w:rsid w:val="00DE66AA"/>
    <w:rsid w:val="00DF4D68"/>
    <w:rsid w:val="00DF4E4D"/>
    <w:rsid w:val="00E366C6"/>
    <w:rsid w:val="00E43A45"/>
    <w:rsid w:val="00E460B8"/>
    <w:rsid w:val="00E636B7"/>
    <w:rsid w:val="00E71108"/>
    <w:rsid w:val="00E77D79"/>
    <w:rsid w:val="00EA6DCC"/>
    <w:rsid w:val="00ED7B0A"/>
    <w:rsid w:val="00EF2E37"/>
    <w:rsid w:val="00EF3CBB"/>
    <w:rsid w:val="00EF49BB"/>
    <w:rsid w:val="00EF4D4F"/>
    <w:rsid w:val="00EF4ED1"/>
    <w:rsid w:val="00F01D94"/>
    <w:rsid w:val="00F545E1"/>
    <w:rsid w:val="00F65432"/>
    <w:rsid w:val="00F83FB1"/>
    <w:rsid w:val="00F92B1B"/>
    <w:rsid w:val="00F92F87"/>
    <w:rsid w:val="00FB6A7D"/>
    <w:rsid w:val="00FD0CDE"/>
    <w:rsid w:val="011E7E97"/>
    <w:rsid w:val="01245422"/>
    <w:rsid w:val="02CA312B"/>
    <w:rsid w:val="0408D738"/>
    <w:rsid w:val="048DB598"/>
    <w:rsid w:val="04CA6283"/>
    <w:rsid w:val="04CA9554"/>
    <w:rsid w:val="04EA9C1A"/>
    <w:rsid w:val="05061A4D"/>
    <w:rsid w:val="07D4004E"/>
    <w:rsid w:val="085F676F"/>
    <w:rsid w:val="08C31FFE"/>
    <w:rsid w:val="09252E4B"/>
    <w:rsid w:val="097EED79"/>
    <w:rsid w:val="0A5EF72E"/>
    <w:rsid w:val="0BD472AD"/>
    <w:rsid w:val="0CD57468"/>
    <w:rsid w:val="0CFFEDDA"/>
    <w:rsid w:val="0E5FB472"/>
    <w:rsid w:val="0EACFC93"/>
    <w:rsid w:val="0F485389"/>
    <w:rsid w:val="10D80880"/>
    <w:rsid w:val="11A18E50"/>
    <w:rsid w:val="11A8E58B"/>
    <w:rsid w:val="12342D6E"/>
    <w:rsid w:val="127E7EE2"/>
    <w:rsid w:val="129BB97A"/>
    <w:rsid w:val="144BBB1B"/>
    <w:rsid w:val="147430A9"/>
    <w:rsid w:val="14994200"/>
    <w:rsid w:val="14BFA436"/>
    <w:rsid w:val="14CDBCF5"/>
    <w:rsid w:val="15019AEB"/>
    <w:rsid w:val="15551F24"/>
    <w:rsid w:val="15A1A306"/>
    <w:rsid w:val="15A40C63"/>
    <w:rsid w:val="168ACFF9"/>
    <w:rsid w:val="17F61823"/>
    <w:rsid w:val="1876DFB8"/>
    <w:rsid w:val="189A97A1"/>
    <w:rsid w:val="19459297"/>
    <w:rsid w:val="1A35C25B"/>
    <w:rsid w:val="1A388D63"/>
    <w:rsid w:val="1B68B62F"/>
    <w:rsid w:val="1BAA4C61"/>
    <w:rsid w:val="1BFBC834"/>
    <w:rsid w:val="1CBAC8E0"/>
    <w:rsid w:val="1D06C7F4"/>
    <w:rsid w:val="1D162463"/>
    <w:rsid w:val="1DF29D61"/>
    <w:rsid w:val="1ED391E6"/>
    <w:rsid w:val="1F27F6D9"/>
    <w:rsid w:val="2099B5D7"/>
    <w:rsid w:val="20FE3870"/>
    <w:rsid w:val="21D3DAF9"/>
    <w:rsid w:val="22D1E0C9"/>
    <w:rsid w:val="23049A9C"/>
    <w:rsid w:val="23760978"/>
    <w:rsid w:val="24330F98"/>
    <w:rsid w:val="2545D29D"/>
    <w:rsid w:val="25B31843"/>
    <w:rsid w:val="26059BD1"/>
    <w:rsid w:val="264492B6"/>
    <w:rsid w:val="27004C3B"/>
    <w:rsid w:val="277D4DFF"/>
    <w:rsid w:val="28910501"/>
    <w:rsid w:val="290915E7"/>
    <w:rsid w:val="29449D39"/>
    <w:rsid w:val="29C53C8B"/>
    <w:rsid w:val="2A38602C"/>
    <w:rsid w:val="2ABAC18E"/>
    <w:rsid w:val="2AD28BEA"/>
    <w:rsid w:val="2AEDD59D"/>
    <w:rsid w:val="2BE88553"/>
    <w:rsid w:val="2E1FFBE2"/>
    <w:rsid w:val="2E29BAA4"/>
    <w:rsid w:val="2E386086"/>
    <w:rsid w:val="2E871F59"/>
    <w:rsid w:val="2EBE892E"/>
    <w:rsid w:val="2F5744DC"/>
    <w:rsid w:val="2F7423B6"/>
    <w:rsid w:val="2FB052E8"/>
    <w:rsid w:val="2FFF9442"/>
    <w:rsid w:val="30101631"/>
    <w:rsid w:val="313709C7"/>
    <w:rsid w:val="324766CD"/>
    <w:rsid w:val="3247B1DA"/>
    <w:rsid w:val="34C992C2"/>
    <w:rsid w:val="3535F9BA"/>
    <w:rsid w:val="35510015"/>
    <w:rsid w:val="360F2B17"/>
    <w:rsid w:val="36C1D4CB"/>
    <w:rsid w:val="379E689A"/>
    <w:rsid w:val="37FD0504"/>
    <w:rsid w:val="393A38FB"/>
    <w:rsid w:val="395B4DE3"/>
    <w:rsid w:val="398A7ED7"/>
    <w:rsid w:val="39A6CD3F"/>
    <w:rsid w:val="3A4E83F6"/>
    <w:rsid w:val="3A7021C2"/>
    <w:rsid w:val="3AA34963"/>
    <w:rsid w:val="3AD0150F"/>
    <w:rsid w:val="3AFE7EEA"/>
    <w:rsid w:val="3B087FF8"/>
    <w:rsid w:val="3B9320CD"/>
    <w:rsid w:val="3BA99DBC"/>
    <w:rsid w:val="3C9D0AAE"/>
    <w:rsid w:val="3D90057A"/>
    <w:rsid w:val="3DD4176A"/>
    <w:rsid w:val="3E2F0766"/>
    <w:rsid w:val="3E3EA3AF"/>
    <w:rsid w:val="3E665FDD"/>
    <w:rsid w:val="3EEA0B1C"/>
    <w:rsid w:val="3F7D42B7"/>
    <w:rsid w:val="3FAB165F"/>
    <w:rsid w:val="40D94BAE"/>
    <w:rsid w:val="41AD84BE"/>
    <w:rsid w:val="423EE861"/>
    <w:rsid w:val="436268AF"/>
    <w:rsid w:val="44254BF9"/>
    <w:rsid w:val="4494BCD6"/>
    <w:rsid w:val="4530FED9"/>
    <w:rsid w:val="46081630"/>
    <w:rsid w:val="462EF7CA"/>
    <w:rsid w:val="4726E7E4"/>
    <w:rsid w:val="47B63A3C"/>
    <w:rsid w:val="48B79C88"/>
    <w:rsid w:val="4B7ACA0C"/>
    <w:rsid w:val="4BD614ED"/>
    <w:rsid w:val="4C3AB0D7"/>
    <w:rsid w:val="4C3E90B4"/>
    <w:rsid w:val="4C76CD48"/>
    <w:rsid w:val="4D613F03"/>
    <w:rsid w:val="4E6BF114"/>
    <w:rsid w:val="4F8F9682"/>
    <w:rsid w:val="503ADD4F"/>
    <w:rsid w:val="50C2AE6D"/>
    <w:rsid w:val="512B66E3"/>
    <w:rsid w:val="5148135C"/>
    <w:rsid w:val="523014F3"/>
    <w:rsid w:val="538F1927"/>
    <w:rsid w:val="542FD7C3"/>
    <w:rsid w:val="547EB46B"/>
    <w:rsid w:val="547FB41E"/>
    <w:rsid w:val="54B2CE26"/>
    <w:rsid w:val="55946B79"/>
    <w:rsid w:val="55F45CCE"/>
    <w:rsid w:val="56B60869"/>
    <w:rsid w:val="571DE7FB"/>
    <w:rsid w:val="579AA867"/>
    <w:rsid w:val="57B754E0"/>
    <w:rsid w:val="580ED37E"/>
    <w:rsid w:val="585A56B2"/>
    <w:rsid w:val="58835101"/>
    <w:rsid w:val="5C056114"/>
    <w:rsid w:val="5C60AEB2"/>
    <w:rsid w:val="5C9D81FD"/>
    <w:rsid w:val="5D5D94A7"/>
    <w:rsid w:val="5E6C42FC"/>
    <w:rsid w:val="5E725968"/>
    <w:rsid w:val="5EA0BC82"/>
    <w:rsid w:val="5EBFD2BA"/>
    <w:rsid w:val="5F2BBB6C"/>
    <w:rsid w:val="5F97852B"/>
    <w:rsid w:val="5F981CA3"/>
    <w:rsid w:val="5FF580CD"/>
    <w:rsid w:val="601E6BD8"/>
    <w:rsid w:val="60BE24BD"/>
    <w:rsid w:val="6133ED04"/>
    <w:rsid w:val="61341FD5"/>
    <w:rsid w:val="638097D2"/>
    <w:rsid w:val="643D0EB2"/>
    <w:rsid w:val="646BC097"/>
    <w:rsid w:val="64D99FE7"/>
    <w:rsid w:val="64EF9D82"/>
    <w:rsid w:val="655DDB87"/>
    <w:rsid w:val="6613D274"/>
    <w:rsid w:val="66E9A80B"/>
    <w:rsid w:val="677CA95A"/>
    <w:rsid w:val="68136120"/>
    <w:rsid w:val="68C35C14"/>
    <w:rsid w:val="693EFEE9"/>
    <w:rsid w:val="69B71E0C"/>
    <w:rsid w:val="6A9EBEE1"/>
    <w:rsid w:val="6AA8CF02"/>
    <w:rsid w:val="6AAE34E6"/>
    <w:rsid w:val="6AE68D39"/>
    <w:rsid w:val="6B119CA6"/>
    <w:rsid w:val="6C4E4ED3"/>
    <w:rsid w:val="6CBFC160"/>
    <w:rsid w:val="6CFEA377"/>
    <w:rsid w:val="6D90A790"/>
    <w:rsid w:val="6E021FF8"/>
    <w:rsid w:val="6E3DCB4B"/>
    <w:rsid w:val="6EFAA84B"/>
    <w:rsid w:val="6F4A930E"/>
    <w:rsid w:val="6F84D572"/>
    <w:rsid w:val="7032982A"/>
    <w:rsid w:val="70D5A544"/>
    <w:rsid w:val="71D17E1D"/>
    <w:rsid w:val="71D1BAEA"/>
    <w:rsid w:val="727D794F"/>
    <w:rsid w:val="736D4E7E"/>
    <w:rsid w:val="73730BD2"/>
    <w:rsid w:val="738A2F97"/>
    <w:rsid w:val="73E9E81E"/>
    <w:rsid w:val="7436195E"/>
    <w:rsid w:val="74B3E938"/>
    <w:rsid w:val="74D7DC28"/>
    <w:rsid w:val="75A4B2BD"/>
    <w:rsid w:val="75B9B050"/>
    <w:rsid w:val="765ED156"/>
    <w:rsid w:val="76DE66A2"/>
    <w:rsid w:val="76EAABE9"/>
    <w:rsid w:val="7827270A"/>
    <w:rsid w:val="786BEC23"/>
    <w:rsid w:val="78B0897B"/>
    <w:rsid w:val="78C05781"/>
    <w:rsid w:val="79190D40"/>
    <w:rsid w:val="795D1039"/>
    <w:rsid w:val="7A31974B"/>
    <w:rsid w:val="7AEFC8B3"/>
    <w:rsid w:val="7B0A025F"/>
    <w:rsid w:val="7BCB8DAA"/>
    <w:rsid w:val="7BCBC07B"/>
    <w:rsid w:val="7BE69902"/>
    <w:rsid w:val="7BFDC552"/>
    <w:rsid w:val="7C3412BE"/>
    <w:rsid w:val="7C424BD8"/>
    <w:rsid w:val="7C9071C2"/>
    <w:rsid w:val="7C94B0FB"/>
    <w:rsid w:val="7D1CB4C7"/>
    <w:rsid w:val="7E156455"/>
    <w:rsid w:val="7E7049E9"/>
    <w:rsid w:val="7EE89436"/>
    <w:rsid w:val="7EFE9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7DE8E"/>
  <w15:docId w15:val="{4D477537-0EFA-4BAA-9D24-934E5542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374"/>
    <w:rPr>
      <w:sz w:val="24"/>
      <w:szCs w:val="24"/>
    </w:rPr>
  </w:style>
  <w:style w:type="paragraph" w:styleId="Heading1">
    <w:name w:val="heading 1"/>
    <w:basedOn w:val="Normal"/>
    <w:next w:val="Normal"/>
    <w:link w:val="Heading1Char"/>
    <w:qFormat/>
    <w:rsid w:val="007C3F0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2374"/>
    <w:pPr>
      <w:tabs>
        <w:tab w:val="center" w:pos="4153"/>
        <w:tab w:val="right" w:pos="8306"/>
      </w:tabs>
    </w:pPr>
  </w:style>
  <w:style w:type="character" w:customStyle="1" w:styleId="FooterChar">
    <w:name w:val="Footer Char"/>
    <w:basedOn w:val="DefaultParagraphFont"/>
    <w:link w:val="Footer"/>
    <w:uiPriority w:val="99"/>
    <w:rsid w:val="00062374"/>
    <w:rPr>
      <w:sz w:val="24"/>
      <w:szCs w:val="24"/>
    </w:rPr>
  </w:style>
  <w:style w:type="character" w:styleId="PageNumber">
    <w:name w:val="page number"/>
    <w:basedOn w:val="DefaultParagraphFont"/>
    <w:rsid w:val="00062374"/>
  </w:style>
  <w:style w:type="paragraph" w:styleId="Header">
    <w:name w:val="header"/>
    <w:basedOn w:val="Normal"/>
    <w:link w:val="HeaderChar"/>
    <w:unhideWhenUsed/>
    <w:rsid w:val="0098179B"/>
    <w:pPr>
      <w:tabs>
        <w:tab w:val="center" w:pos="4513"/>
        <w:tab w:val="right" w:pos="9026"/>
      </w:tabs>
    </w:pPr>
  </w:style>
  <w:style w:type="character" w:customStyle="1" w:styleId="HeaderChar">
    <w:name w:val="Header Char"/>
    <w:basedOn w:val="DefaultParagraphFont"/>
    <w:link w:val="Header"/>
    <w:rsid w:val="0098179B"/>
    <w:rPr>
      <w:sz w:val="24"/>
      <w:szCs w:val="24"/>
    </w:rPr>
  </w:style>
  <w:style w:type="paragraph" w:styleId="BalloonText">
    <w:name w:val="Balloon Text"/>
    <w:basedOn w:val="Normal"/>
    <w:link w:val="BalloonTextChar"/>
    <w:semiHidden/>
    <w:unhideWhenUsed/>
    <w:rsid w:val="0017651A"/>
    <w:rPr>
      <w:rFonts w:ascii="Tahoma" w:hAnsi="Tahoma" w:cs="Tahoma"/>
      <w:sz w:val="16"/>
      <w:szCs w:val="16"/>
    </w:rPr>
  </w:style>
  <w:style w:type="character" w:customStyle="1" w:styleId="BalloonTextChar">
    <w:name w:val="Balloon Text Char"/>
    <w:basedOn w:val="DefaultParagraphFont"/>
    <w:link w:val="BalloonText"/>
    <w:semiHidden/>
    <w:rsid w:val="0017651A"/>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7C3F07"/>
  </w:style>
  <w:style w:type="character" w:customStyle="1" w:styleId="Heading1Char">
    <w:name w:val="Heading 1 Char"/>
    <w:basedOn w:val="DefaultParagraphFont"/>
    <w:link w:val="Heading1"/>
    <w:rsid w:val="007C3F07"/>
    <w:rPr>
      <w:rFonts w:asciiTheme="majorHAnsi" w:eastAsiaTheme="majorEastAsia" w:hAnsiTheme="majorHAnsi" w:cstheme="majorBidi"/>
      <w:color w:val="365F91" w:themeColor="accent1" w:themeShade="BF"/>
      <w:sz w:val="32"/>
      <w:szCs w:val="32"/>
    </w:rPr>
  </w:style>
  <w:style w:type="paragraph" w:customStyle="1" w:styleId="Heading21">
    <w:name w:val="Heading 21"/>
    <w:basedOn w:val="Heading1"/>
    <w:link w:val="Heading2Char"/>
    <w:qFormat/>
    <w:rsid w:val="00F92B1B"/>
  </w:style>
  <w:style w:type="paragraph" w:styleId="TOCHeading">
    <w:name w:val="TOC Heading"/>
    <w:basedOn w:val="Heading1"/>
    <w:next w:val="Normal"/>
    <w:uiPriority w:val="39"/>
    <w:unhideWhenUsed/>
    <w:qFormat/>
    <w:rsid w:val="009E50C1"/>
    <w:pPr>
      <w:spacing w:line="259" w:lineRule="auto"/>
      <w:outlineLvl w:val="9"/>
    </w:pPr>
    <w:rPr>
      <w:lang w:val="en-US" w:eastAsia="en-US"/>
    </w:rPr>
  </w:style>
  <w:style w:type="character" w:customStyle="1" w:styleId="Heading2Char">
    <w:name w:val="Heading 2 Char"/>
    <w:basedOn w:val="Heading1Char"/>
    <w:link w:val="Heading21"/>
    <w:rsid w:val="00F92B1B"/>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9E50C1"/>
    <w:pPr>
      <w:spacing w:after="100"/>
    </w:pPr>
  </w:style>
  <w:style w:type="character" w:styleId="Hyperlink">
    <w:name w:val="Hyperlink"/>
    <w:basedOn w:val="DefaultParagraphFont"/>
    <w:uiPriority w:val="99"/>
    <w:unhideWhenUsed/>
    <w:rsid w:val="009E50C1"/>
    <w:rPr>
      <w:color w:val="0000FF"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E5A55"/>
    <w:rPr>
      <w:b/>
      <w:bCs/>
    </w:rPr>
  </w:style>
  <w:style w:type="character" w:customStyle="1" w:styleId="CommentSubjectChar">
    <w:name w:val="Comment Subject Char"/>
    <w:basedOn w:val="CommentTextChar"/>
    <w:link w:val="CommentSubject"/>
    <w:semiHidden/>
    <w:rsid w:val="009E5A55"/>
    <w:rPr>
      <w:b/>
      <w:bCs/>
    </w:rPr>
  </w:style>
  <w:style w:type="paragraph" w:styleId="Revision">
    <w:name w:val="Revision"/>
    <w:hidden/>
    <w:uiPriority w:val="99"/>
    <w:semiHidden/>
    <w:rsid w:val="009E5A55"/>
    <w:rPr>
      <w:sz w:val="24"/>
      <w:szCs w:val="24"/>
    </w:rPr>
  </w:style>
  <w:style w:type="character" w:styleId="UnresolvedMention">
    <w:name w:val="Unresolved Mention"/>
    <w:basedOn w:val="DefaultParagraphFont"/>
    <w:uiPriority w:val="99"/>
    <w:semiHidden/>
    <w:unhideWhenUsed/>
    <w:rsid w:val="00DE66AA"/>
    <w:rPr>
      <w:color w:val="605E5C"/>
      <w:shd w:val="clear" w:color="auto" w:fill="E1DFDD"/>
    </w:rPr>
  </w:style>
  <w:style w:type="character" w:styleId="FollowedHyperlink">
    <w:name w:val="FollowedHyperlink"/>
    <w:basedOn w:val="DefaultParagraphFont"/>
    <w:semiHidden/>
    <w:unhideWhenUsed/>
    <w:rsid w:val="00AF5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wentarchives.gov.uk/en/about-us/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CBC - Word" ma:contentTypeID="0x010100F62BDD624346DE44BD667E2A6833A2F3007EEEB4D46083384790AB52459BD6D777" ma:contentTypeVersion="24" ma:contentTypeDescription="" ma:contentTypeScope="" ma:versionID="7ad1614cf7fe52133283e8b28d7f3471">
  <xsd:schema xmlns:xsd="http://www.w3.org/2001/XMLSchema" xmlns:xs="http://www.w3.org/2001/XMLSchema" xmlns:p="http://schemas.microsoft.com/office/2006/metadata/properties" xmlns:ns2="c40dd51c-0b93-41a3-8ce1-c0167702c6fe" targetNamespace="http://schemas.microsoft.com/office/2006/metadata/properties" ma:root="true" ma:fieldsID="da6bb1f80b24a4a9d265912684625a71" ns2:_="">
    <xsd:import namespace="c40dd51c-0b93-41a3-8ce1-c0167702c6fe"/>
    <xsd:element name="properties">
      <xsd:complexType>
        <xsd:sequence>
          <xsd:element name="documentManagement">
            <xsd:complexType>
              <xsd:all>
                <xsd:element ref="ns2:PII_x002f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nillable="true" ma:displayName="PII/Sensitivity"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45d2c57-1183-427d-a604-2e0ffdafb2d4" ContentTypeId="0x010100F62BDD624346DE44BD667E2A6833A2F3" PreviousValue="false"/>
</file>

<file path=customXml/itemProps1.xml><?xml version="1.0" encoding="utf-8"?>
<ds:datastoreItem xmlns:ds="http://schemas.openxmlformats.org/officeDocument/2006/customXml" ds:itemID="{4D56777C-5778-491F-B663-7846F0A94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1737F-3ED8-422D-8E6D-2CD8FD2AEBE7}">
  <ds:schemaRefs>
    <ds:schemaRef ds:uri="http://schemas.microsoft.com/office/2006/metadata/properties"/>
    <ds:schemaRef ds:uri="http://schemas.microsoft.com/office/infopath/2007/PartnerControls"/>
    <ds:schemaRef ds:uri="c40dd51c-0b93-41a3-8ce1-c0167702c6fe"/>
  </ds:schemaRefs>
</ds:datastoreItem>
</file>

<file path=customXml/itemProps3.xml><?xml version="1.0" encoding="utf-8"?>
<ds:datastoreItem xmlns:ds="http://schemas.openxmlformats.org/officeDocument/2006/customXml" ds:itemID="{584D625A-55FC-4C57-B914-C7BA2A2D42EE}">
  <ds:schemaRefs>
    <ds:schemaRef ds:uri="http://schemas.openxmlformats.org/officeDocument/2006/bibliography"/>
  </ds:schemaRefs>
</ds:datastoreItem>
</file>

<file path=customXml/itemProps4.xml><?xml version="1.0" encoding="utf-8"?>
<ds:datastoreItem xmlns:ds="http://schemas.openxmlformats.org/officeDocument/2006/customXml" ds:itemID="{006E8F9B-9593-4A0C-BEBF-9B249DD2DA2C}">
  <ds:schemaRefs>
    <ds:schemaRef ds:uri="http://schemas.microsoft.com/sharepoint/v3/contenttype/forms"/>
  </ds:schemaRefs>
</ds:datastoreItem>
</file>

<file path=customXml/itemProps5.xml><?xml version="1.0" encoding="utf-8"?>
<ds:datastoreItem xmlns:ds="http://schemas.openxmlformats.org/officeDocument/2006/customXml" ds:itemID="{C42B7AB0-CB9C-46B2-B334-1D36C262FF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810</Words>
  <Characters>4619</Characters>
  <Application>Microsoft Office Word</Application>
  <DocSecurity>4</DocSecurity>
  <Lines>38</Lines>
  <Paragraphs>10</Paragraphs>
  <ScaleCrop>false</ScaleCrop>
  <Company>BGCBC</Company>
  <LinksUpToDate>false</LinksUpToDate>
  <CharactersWithSpaces>5419</CharactersWithSpaces>
  <SharedDoc>false</SharedDoc>
  <HLinks>
    <vt:vector size="60" baseType="variant">
      <vt:variant>
        <vt:i4>7143472</vt:i4>
      </vt:variant>
      <vt:variant>
        <vt:i4>57</vt:i4>
      </vt:variant>
      <vt:variant>
        <vt:i4>0</vt:i4>
      </vt:variant>
      <vt:variant>
        <vt:i4>5</vt:i4>
      </vt:variant>
      <vt:variant>
        <vt:lpwstr>https://www.gwentarchives.gov.uk/en/about-us/policies/</vt:lpwstr>
      </vt:variant>
      <vt:variant>
        <vt:lpwstr/>
      </vt:variant>
      <vt:variant>
        <vt:i4>1245238</vt:i4>
      </vt:variant>
      <vt:variant>
        <vt:i4>50</vt:i4>
      </vt:variant>
      <vt:variant>
        <vt:i4>0</vt:i4>
      </vt:variant>
      <vt:variant>
        <vt:i4>5</vt:i4>
      </vt:variant>
      <vt:variant>
        <vt:lpwstr/>
      </vt:variant>
      <vt:variant>
        <vt:lpwstr>_Toc102632605</vt:lpwstr>
      </vt:variant>
      <vt:variant>
        <vt:i4>1245238</vt:i4>
      </vt:variant>
      <vt:variant>
        <vt:i4>44</vt:i4>
      </vt:variant>
      <vt:variant>
        <vt:i4>0</vt:i4>
      </vt:variant>
      <vt:variant>
        <vt:i4>5</vt:i4>
      </vt:variant>
      <vt:variant>
        <vt:lpwstr/>
      </vt:variant>
      <vt:variant>
        <vt:lpwstr>_Toc102632604</vt:lpwstr>
      </vt:variant>
      <vt:variant>
        <vt:i4>1245238</vt:i4>
      </vt:variant>
      <vt:variant>
        <vt:i4>38</vt:i4>
      </vt:variant>
      <vt:variant>
        <vt:i4>0</vt:i4>
      </vt:variant>
      <vt:variant>
        <vt:i4>5</vt:i4>
      </vt:variant>
      <vt:variant>
        <vt:lpwstr/>
      </vt:variant>
      <vt:variant>
        <vt:lpwstr>_Toc102632603</vt:lpwstr>
      </vt:variant>
      <vt:variant>
        <vt:i4>1245238</vt:i4>
      </vt:variant>
      <vt:variant>
        <vt:i4>32</vt:i4>
      </vt:variant>
      <vt:variant>
        <vt:i4>0</vt:i4>
      </vt:variant>
      <vt:variant>
        <vt:i4>5</vt:i4>
      </vt:variant>
      <vt:variant>
        <vt:lpwstr/>
      </vt:variant>
      <vt:variant>
        <vt:lpwstr>_Toc102632602</vt:lpwstr>
      </vt:variant>
      <vt:variant>
        <vt:i4>1245238</vt:i4>
      </vt:variant>
      <vt:variant>
        <vt:i4>26</vt:i4>
      </vt:variant>
      <vt:variant>
        <vt:i4>0</vt:i4>
      </vt:variant>
      <vt:variant>
        <vt:i4>5</vt:i4>
      </vt:variant>
      <vt:variant>
        <vt:lpwstr/>
      </vt:variant>
      <vt:variant>
        <vt:lpwstr>_Toc102632601</vt:lpwstr>
      </vt:variant>
      <vt:variant>
        <vt:i4>1245238</vt:i4>
      </vt:variant>
      <vt:variant>
        <vt:i4>20</vt:i4>
      </vt:variant>
      <vt:variant>
        <vt:i4>0</vt:i4>
      </vt:variant>
      <vt:variant>
        <vt:i4>5</vt:i4>
      </vt:variant>
      <vt:variant>
        <vt:lpwstr/>
      </vt:variant>
      <vt:variant>
        <vt:lpwstr>_Toc102632600</vt:lpwstr>
      </vt:variant>
      <vt:variant>
        <vt:i4>1703989</vt:i4>
      </vt:variant>
      <vt:variant>
        <vt:i4>14</vt:i4>
      </vt:variant>
      <vt:variant>
        <vt:i4>0</vt:i4>
      </vt:variant>
      <vt:variant>
        <vt:i4>5</vt:i4>
      </vt:variant>
      <vt:variant>
        <vt:lpwstr/>
      </vt:variant>
      <vt:variant>
        <vt:lpwstr>_Toc102632599</vt:lpwstr>
      </vt:variant>
      <vt:variant>
        <vt:i4>1703989</vt:i4>
      </vt:variant>
      <vt:variant>
        <vt:i4>8</vt:i4>
      </vt:variant>
      <vt:variant>
        <vt:i4>0</vt:i4>
      </vt:variant>
      <vt:variant>
        <vt:i4>5</vt:i4>
      </vt:variant>
      <vt:variant>
        <vt:lpwstr/>
      </vt:variant>
      <vt:variant>
        <vt:lpwstr>_Toc102632598</vt:lpwstr>
      </vt:variant>
      <vt:variant>
        <vt:i4>1703989</vt:i4>
      </vt:variant>
      <vt:variant>
        <vt:i4>2</vt:i4>
      </vt:variant>
      <vt:variant>
        <vt:i4>0</vt:i4>
      </vt:variant>
      <vt:variant>
        <vt:i4>5</vt:i4>
      </vt:variant>
      <vt:variant>
        <vt:lpwstr/>
      </vt:variant>
      <vt:variant>
        <vt:lpwstr>_Toc102632597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Jones</dc:creator>
  <cp:keywords/>
  <cp:lastModifiedBy>Snook, Lisa</cp:lastModifiedBy>
  <cp:revision>156</cp:revision>
  <cp:lastPrinted>2022-05-10T17:01:00Z</cp:lastPrinted>
  <dcterms:created xsi:type="dcterms:W3CDTF">2019-06-28T00:42:00Z</dcterms:created>
  <dcterms:modified xsi:type="dcterms:W3CDTF">2025-06-20T12:25:00Z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0x010100F62BDD624346DE44BD667E2A6833A2F3007EEEB4D46083384790AB52459BD6D777</vt:lpwstr>
  </property>
  <property fmtid="{D5CDD505-2E9C-101B-9397-08002B2CF9AE}" pid="3" name="Order">
    <vt:r8>11216200</vt:r8>
  </property>
</Properties>
</file>